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7598" w14:textId="77777777" w:rsidR="00ED1CCD" w:rsidRPr="00A675B3" w:rsidRDefault="00ED1CCD" w:rsidP="00ED1CCD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675B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Supplementary Table S1. Sensitivity analyses with alternative thresholds</w:t>
      </w:r>
    </w:p>
    <w:tbl>
      <w:tblPr>
        <w:tblW w:w="963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1699"/>
        <w:gridCol w:w="1417"/>
        <w:gridCol w:w="2552"/>
        <w:gridCol w:w="1842"/>
      </w:tblGrid>
      <w:tr w:rsidR="00ED1CCD" w:rsidRPr="00A675B3" w14:paraId="130AF56F" w14:textId="77777777" w:rsidTr="00F61377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7F06C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Threshold (% fall Day 0→3)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34313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CRP AUC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5045D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PCT AUC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93706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Adjusted OR for 30</w:t>
            </w: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noBreakHyphen/>
              <w:t>day mortality*, CRP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4B83C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Adjusted OR, PCT</w:t>
            </w:r>
          </w:p>
        </w:tc>
      </w:tr>
      <w:tr w:rsidR="00ED1CCD" w:rsidRPr="00A675B3" w14:paraId="1413D666" w14:textId="77777777" w:rsidTr="00F613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766723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 30%</w:t>
            </w:r>
          </w:p>
        </w:tc>
        <w:tc>
          <w:tcPr>
            <w:tcW w:w="1669" w:type="dxa"/>
            <w:vAlign w:val="center"/>
            <w:hideMark/>
          </w:tcPr>
          <w:p w14:paraId="275F6BF4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1387" w:type="dxa"/>
            <w:vAlign w:val="center"/>
            <w:hideMark/>
          </w:tcPr>
          <w:p w14:paraId="12BD390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2522" w:type="dxa"/>
            <w:vAlign w:val="center"/>
            <w:hideMark/>
          </w:tcPr>
          <w:p w14:paraId="004061D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0.66 (0.38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1.12)</w:t>
            </w:r>
          </w:p>
        </w:tc>
        <w:tc>
          <w:tcPr>
            <w:tcW w:w="1797" w:type="dxa"/>
            <w:vAlign w:val="center"/>
            <w:hideMark/>
          </w:tcPr>
          <w:p w14:paraId="40F50D8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0.69 (0.40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1.19)</w:t>
            </w:r>
          </w:p>
        </w:tc>
      </w:tr>
      <w:tr w:rsidR="00ED1CCD" w:rsidRPr="00A675B3" w14:paraId="5B83B32E" w14:textId="77777777" w:rsidTr="00F613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14C252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 40%</w:t>
            </w:r>
          </w:p>
        </w:tc>
        <w:tc>
          <w:tcPr>
            <w:tcW w:w="1669" w:type="dxa"/>
            <w:vAlign w:val="center"/>
            <w:hideMark/>
          </w:tcPr>
          <w:p w14:paraId="2F6FB7A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1387" w:type="dxa"/>
            <w:vAlign w:val="center"/>
            <w:hideMark/>
          </w:tcPr>
          <w:p w14:paraId="6BE46E4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2522" w:type="dxa"/>
            <w:vAlign w:val="center"/>
            <w:hideMark/>
          </w:tcPr>
          <w:p w14:paraId="3567B55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0.57 (0.33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0.99)</w:t>
            </w:r>
          </w:p>
        </w:tc>
        <w:tc>
          <w:tcPr>
            <w:tcW w:w="1797" w:type="dxa"/>
            <w:vAlign w:val="center"/>
            <w:hideMark/>
          </w:tcPr>
          <w:p w14:paraId="66A4CE1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0.60 (0.35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1.03)</w:t>
            </w:r>
          </w:p>
        </w:tc>
      </w:tr>
      <w:tr w:rsidR="00ED1CCD" w:rsidRPr="00A675B3" w14:paraId="153C6A01" w14:textId="77777777" w:rsidTr="00F613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7DCF97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≥ 50%</w:t>
            </w:r>
          </w:p>
        </w:tc>
        <w:tc>
          <w:tcPr>
            <w:tcW w:w="1669" w:type="dxa"/>
            <w:vAlign w:val="center"/>
            <w:hideMark/>
          </w:tcPr>
          <w:p w14:paraId="0391B29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0.78</w:t>
            </w:r>
          </w:p>
        </w:tc>
        <w:tc>
          <w:tcPr>
            <w:tcW w:w="1387" w:type="dxa"/>
            <w:vAlign w:val="center"/>
            <w:hideMark/>
          </w:tcPr>
          <w:p w14:paraId="077C2EE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2522" w:type="dxa"/>
            <w:vAlign w:val="center"/>
            <w:hideMark/>
          </w:tcPr>
          <w:p w14:paraId="42213A8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0.52 (0.24</w:t>
            </w: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noBreakHyphen/>
              <w:t>0.95)</w:t>
            </w:r>
          </w:p>
        </w:tc>
        <w:tc>
          <w:tcPr>
            <w:tcW w:w="1797" w:type="dxa"/>
            <w:vAlign w:val="center"/>
            <w:hideMark/>
          </w:tcPr>
          <w:p w14:paraId="0FCF0D4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0.56 (0.27</w:t>
            </w: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noBreakHyphen/>
              <w:t>1.00)</w:t>
            </w:r>
          </w:p>
        </w:tc>
      </w:tr>
      <w:tr w:rsidR="00ED1CCD" w:rsidRPr="00A675B3" w14:paraId="6EFD183E" w14:textId="77777777" w:rsidTr="00F61377">
        <w:trPr>
          <w:tblCellSpacing w:w="15" w:type="dxa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BB77B6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 60%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  <w:hideMark/>
          </w:tcPr>
          <w:p w14:paraId="37EC68AB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0378430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  <w:hideMark/>
          </w:tcPr>
          <w:p w14:paraId="37AF8A3B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0.54 (0.25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1.14)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  <w:hideMark/>
          </w:tcPr>
          <w:p w14:paraId="6456BF7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0.58 (0.27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1.26)</w:t>
            </w:r>
          </w:p>
        </w:tc>
      </w:tr>
    </w:tbl>
    <w:p w14:paraId="7E97E9B2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>*Each OR adjusted for age, sex, APACHE II, and comorbidities.</w:t>
      </w:r>
    </w:p>
    <w:p w14:paraId="24ED5684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rPr>
          <w:rFonts w:ascii="Times New Roman" w:hAnsi="Times New Roman" w:cs="Times New Roman"/>
          <w:color w:val="000000" w:themeColor="text1"/>
          <w:sz w:val="20"/>
          <w:szCs w:val="20"/>
        </w:rPr>
        <w:sectPr w:rsidR="00ED1CCD" w:rsidRPr="00A675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≥ 50% definition provided the </w:t>
      </w:r>
      <w:r w:rsidRPr="00A675B3">
        <w:rPr>
          <w:rStyle w:val="af2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highest discrimination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(AUC) and the </w:t>
      </w:r>
      <w:r w:rsidRPr="00A675B3">
        <w:rPr>
          <w:rStyle w:val="af2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lowest Akaike Information</w:t>
      </w: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75B3">
        <w:rPr>
          <w:rStyle w:val="af2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Criterion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multivariable models, supporting its choice as the primary threshold.</w:t>
      </w:r>
    </w:p>
    <w:p w14:paraId="401CBB61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 S2.</w:t>
      </w: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t> </w:t>
      </w: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t>Multiplicity</w:t>
      </w: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noBreakHyphen/>
        <w:t>controlled p</w:t>
      </w: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noBreakHyphen/>
        <w:t>values for secondary outcomes (</w:t>
      </w:r>
      <w:proofErr w:type="spellStart"/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t>Benjamini</w:t>
      </w:r>
      <w:proofErr w:type="spellEnd"/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t>–Hochberg FDR = 0.10)</w:t>
      </w:r>
    </w:p>
    <w:tbl>
      <w:tblPr>
        <w:tblW w:w="921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3051"/>
        <w:gridCol w:w="2126"/>
        <w:gridCol w:w="2268"/>
      </w:tblGrid>
      <w:tr w:rsidR="00ED1CCD" w:rsidRPr="00A675B3" w14:paraId="21473369" w14:textId="77777777" w:rsidTr="00ED1CCD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4D3F4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Outcome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811B6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Biomarker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04F00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Raw p</w:t>
            </w: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noBreakHyphen/>
              <w:t>value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78D31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BH</w:t>
            </w: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noBreakHyphen/>
              <w:t>adjusted p</w:t>
            </w: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noBreakHyphen/>
              <w:t>value</w:t>
            </w:r>
          </w:p>
        </w:tc>
      </w:tr>
      <w:tr w:rsidR="00ED1CCD" w:rsidRPr="00A675B3" w14:paraId="22F8ACFC" w14:textId="77777777" w:rsidTr="00ED1C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8C0801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ICU length of stay</w:t>
            </w:r>
          </w:p>
        </w:tc>
        <w:tc>
          <w:tcPr>
            <w:tcW w:w="3021" w:type="dxa"/>
            <w:vAlign w:val="center"/>
            <w:hideMark/>
          </w:tcPr>
          <w:p w14:paraId="6E1BE56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 trajectory</w:t>
            </w:r>
          </w:p>
        </w:tc>
        <w:tc>
          <w:tcPr>
            <w:tcW w:w="2096" w:type="dxa"/>
            <w:vAlign w:val="center"/>
            <w:hideMark/>
          </w:tcPr>
          <w:p w14:paraId="3F3D895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0.0013</w:t>
            </w:r>
          </w:p>
        </w:tc>
        <w:tc>
          <w:tcPr>
            <w:tcW w:w="2223" w:type="dxa"/>
            <w:vAlign w:val="center"/>
            <w:hideMark/>
          </w:tcPr>
          <w:p w14:paraId="36CAF3D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</w:tr>
      <w:tr w:rsidR="00ED1CCD" w:rsidRPr="00A675B3" w14:paraId="353F36C3" w14:textId="77777777" w:rsidTr="00ED1C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111664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ICU length of stay</w:t>
            </w:r>
          </w:p>
        </w:tc>
        <w:tc>
          <w:tcPr>
            <w:tcW w:w="3021" w:type="dxa"/>
            <w:vAlign w:val="center"/>
            <w:hideMark/>
          </w:tcPr>
          <w:p w14:paraId="5F94C1C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PCT trajectory</w:t>
            </w:r>
          </w:p>
        </w:tc>
        <w:tc>
          <w:tcPr>
            <w:tcW w:w="2096" w:type="dxa"/>
            <w:vAlign w:val="center"/>
            <w:hideMark/>
          </w:tcPr>
          <w:p w14:paraId="68DC06F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0.0037</w:t>
            </w:r>
          </w:p>
        </w:tc>
        <w:tc>
          <w:tcPr>
            <w:tcW w:w="2223" w:type="dxa"/>
            <w:vAlign w:val="center"/>
            <w:hideMark/>
          </w:tcPr>
          <w:p w14:paraId="5C048A6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</w:tr>
      <w:tr w:rsidR="00ED1CCD" w:rsidRPr="00A675B3" w14:paraId="44B38F00" w14:textId="77777777" w:rsidTr="00ED1C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24B566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Ventilation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free days</w:t>
            </w:r>
          </w:p>
        </w:tc>
        <w:tc>
          <w:tcPr>
            <w:tcW w:w="3021" w:type="dxa"/>
            <w:vAlign w:val="center"/>
            <w:hideMark/>
          </w:tcPr>
          <w:p w14:paraId="7C4FECBB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 trajectory</w:t>
            </w:r>
          </w:p>
        </w:tc>
        <w:tc>
          <w:tcPr>
            <w:tcW w:w="2096" w:type="dxa"/>
            <w:vAlign w:val="center"/>
            <w:hideMark/>
          </w:tcPr>
          <w:p w14:paraId="2139CA9B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0.0240</w:t>
            </w:r>
          </w:p>
        </w:tc>
        <w:tc>
          <w:tcPr>
            <w:tcW w:w="2223" w:type="dxa"/>
            <w:vAlign w:val="center"/>
            <w:hideMark/>
          </w:tcPr>
          <w:p w14:paraId="411E5BC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</w:tr>
      <w:tr w:rsidR="00ED1CCD" w:rsidRPr="00A675B3" w14:paraId="35013B97" w14:textId="77777777" w:rsidTr="00ED1C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81C532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Total hospital </w:t>
            </w:r>
            <w:proofErr w:type="gramStart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stay</w:t>
            </w:r>
            <w:proofErr w:type="gramEnd"/>
          </w:p>
        </w:tc>
        <w:tc>
          <w:tcPr>
            <w:tcW w:w="3021" w:type="dxa"/>
            <w:vAlign w:val="center"/>
            <w:hideMark/>
          </w:tcPr>
          <w:p w14:paraId="0876F2F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 trajectory</w:t>
            </w:r>
          </w:p>
        </w:tc>
        <w:tc>
          <w:tcPr>
            <w:tcW w:w="2096" w:type="dxa"/>
            <w:vAlign w:val="center"/>
            <w:hideMark/>
          </w:tcPr>
          <w:p w14:paraId="5653EBD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0.0287</w:t>
            </w:r>
          </w:p>
        </w:tc>
        <w:tc>
          <w:tcPr>
            <w:tcW w:w="2223" w:type="dxa"/>
            <w:vAlign w:val="center"/>
            <w:hideMark/>
          </w:tcPr>
          <w:p w14:paraId="6C8B3F1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</w:tr>
      <w:tr w:rsidR="00ED1CCD" w:rsidRPr="00A675B3" w14:paraId="64A96088" w14:textId="77777777" w:rsidTr="00ED1C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57D3AB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Ventilation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free days</w:t>
            </w:r>
          </w:p>
        </w:tc>
        <w:tc>
          <w:tcPr>
            <w:tcW w:w="3021" w:type="dxa"/>
            <w:vAlign w:val="center"/>
            <w:hideMark/>
          </w:tcPr>
          <w:p w14:paraId="4360095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PCT trajectory</w:t>
            </w:r>
          </w:p>
        </w:tc>
        <w:tc>
          <w:tcPr>
            <w:tcW w:w="2096" w:type="dxa"/>
            <w:vAlign w:val="center"/>
            <w:hideMark/>
          </w:tcPr>
          <w:p w14:paraId="5653D7C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0.1167</w:t>
            </w:r>
          </w:p>
        </w:tc>
        <w:tc>
          <w:tcPr>
            <w:tcW w:w="2223" w:type="dxa"/>
            <w:vAlign w:val="center"/>
            <w:hideMark/>
          </w:tcPr>
          <w:p w14:paraId="6989C07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0.140</w:t>
            </w:r>
          </w:p>
        </w:tc>
      </w:tr>
      <w:tr w:rsidR="00ED1CCD" w:rsidRPr="00A675B3" w14:paraId="2E864CD2" w14:textId="77777777" w:rsidTr="00ED1CCD">
        <w:trPr>
          <w:tblCellSpacing w:w="15" w:type="dxa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0E9304D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Total hospital </w:t>
            </w:r>
            <w:proofErr w:type="gramStart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stay</w:t>
            </w:r>
            <w:proofErr w:type="gramEnd"/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  <w:hideMark/>
          </w:tcPr>
          <w:p w14:paraId="1CEECD3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PCT trajectory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  <w:hideMark/>
          </w:tcPr>
          <w:p w14:paraId="1043AF9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0.1300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  <w:hideMark/>
          </w:tcPr>
          <w:p w14:paraId="0FB504D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0.130</w:t>
            </w:r>
          </w:p>
        </w:tc>
      </w:tr>
    </w:tbl>
    <w:p w14:paraId="713DE309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ED1CCD" w:rsidRPr="00A675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3BCCCC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 S3.</w:t>
      </w: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t> </w:t>
      </w: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t>Shared</w:t>
      </w:r>
      <w:r w:rsidRPr="00A675B3">
        <w:rPr>
          <w:rStyle w:val="af2"/>
          <w:rFonts w:ascii="Times New Roman" w:hAnsi="Times New Roman" w:cs="Times New Roman"/>
          <w:color w:val="000000" w:themeColor="text1"/>
          <w:sz w:val="20"/>
          <w:szCs w:val="20"/>
        </w:rPr>
        <w:noBreakHyphen/>
        <w:t>parameter joint models linking serial biomarker trajectories</w:t>
      </w:r>
    </w:p>
    <w:tbl>
      <w:tblPr>
        <w:tblW w:w="1105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1119"/>
        <w:gridCol w:w="438"/>
        <w:gridCol w:w="2316"/>
        <w:gridCol w:w="808"/>
        <w:gridCol w:w="1276"/>
        <w:gridCol w:w="992"/>
        <w:gridCol w:w="851"/>
      </w:tblGrid>
      <w:tr w:rsidR="00ED1CCD" w:rsidRPr="00A675B3" w14:paraId="03C001B4" w14:textId="77777777" w:rsidTr="00ED1CCD">
        <w:trPr>
          <w:tblHeader/>
          <w:tblCellSpacing w:w="15" w:type="dxa"/>
          <w:jc w:val="center"/>
        </w:trPr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2CAA1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870C0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Linear mixed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effects (longitudinal) sub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model</w:t>
            </w:r>
            <w:r w:rsidRPr="00A675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E62FA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to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event (Cox) sub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model†</w:t>
            </w:r>
          </w:p>
        </w:tc>
      </w:tr>
      <w:tr w:rsidR="00ED1CCD" w:rsidRPr="00A675B3" w14:paraId="1F758B6F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780E019F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Model 1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 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(CRP)</w:t>
            </w:r>
          </w:p>
        </w:tc>
        <w:tc>
          <w:tcPr>
            <w:tcW w:w="0" w:type="auto"/>
            <w:vAlign w:val="center"/>
            <w:hideMark/>
          </w:tcPr>
          <w:p w14:paraId="4C61298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Estimate (β)</w:t>
            </w:r>
          </w:p>
        </w:tc>
        <w:tc>
          <w:tcPr>
            <w:tcW w:w="0" w:type="auto"/>
            <w:vAlign w:val="center"/>
            <w:hideMark/>
          </w:tcPr>
          <w:p w14:paraId="4683B23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2131" w:type="dxa"/>
            <w:vAlign w:val="center"/>
            <w:hideMark/>
          </w:tcPr>
          <w:p w14:paraId="455866A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95% CI</w:t>
            </w:r>
          </w:p>
        </w:tc>
        <w:tc>
          <w:tcPr>
            <w:tcW w:w="725" w:type="dxa"/>
            <w:vAlign w:val="center"/>
            <w:hideMark/>
          </w:tcPr>
          <w:p w14:paraId="6B66245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246" w:type="dxa"/>
            <w:vAlign w:val="center"/>
            <w:hideMark/>
          </w:tcPr>
          <w:p w14:paraId="488D5FD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(eβ)</w:t>
            </w:r>
          </w:p>
        </w:tc>
        <w:tc>
          <w:tcPr>
            <w:tcW w:w="962" w:type="dxa"/>
            <w:vAlign w:val="center"/>
            <w:hideMark/>
          </w:tcPr>
          <w:p w14:paraId="72A1CDE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95% CI</w:t>
            </w:r>
          </w:p>
        </w:tc>
        <w:tc>
          <w:tcPr>
            <w:tcW w:w="806" w:type="dxa"/>
            <w:vAlign w:val="center"/>
            <w:hideMark/>
          </w:tcPr>
          <w:p w14:paraId="4466311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</w:tr>
      <w:tr w:rsidR="00ED1CCD" w:rsidRPr="00A675B3" w14:paraId="00A0C1A9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7B72D984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Intercept‡ (Day 0, ln mg/L)</w:t>
            </w:r>
          </w:p>
        </w:tc>
        <w:tc>
          <w:tcPr>
            <w:tcW w:w="0" w:type="auto"/>
            <w:vAlign w:val="center"/>
            <w:hideMark/>
          </w:tcPr>
          <w:p w14:paraId="000FA60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4.87</w:t>
            </w:r>
          </w:p>
        </w:tc>
        <w:tc>
          <w:tcPr>
            <w:tcW w:w="0" w:type="auto"/>
            <w:vAlign w:val="center"/>
            <w:hideMark/>
          </w:tcPr>
          <w:p w14:paraId="73600A04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2131" w:type="dxa"/>
            <w:vAlign w:val="center"/>
            <w:hideMark/>
          </w:tcPr>
          <w:p w14:paraId="466D284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4.63 – 5.11</w:t>
            </w:r>
          </w:p>
        </w:tc>
        <w:tc>
          <w:tcPr>
            <w:tcW w:w="725" w:type="dxa"/>
            <w:vAlign w:val="center"/>
            <w:hideMark/>
          </w:tcPr>
          <w:p w14:paraId="64ADFCF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246" w:type="dxa"/>
            <w:vAlign w:val="center"/>
            <w:hideMark/>
          </w:tcPr>
          <w:p w14:paraId="01CF324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962" w:type="dxa"/>
            <w:vAlign w:val="center"/>
            <w:hideMark/>
          </w:tcPr>
          <w:p w14:paraId="04C99D4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806" w:type="dxa"/>
            <w:vAlign w:val="center"/>
            <w:hideMark/>
          </w:tcPr>
          <w:p w14:paraId="45A25B9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ED1CCD" w:rsidRPr="00A675B3" w14:paraId="3E623A6C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323226B8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 (per day)</w:t>
            </w:r>
          </w:p>
        </w:tc>
        <w:tc>
          <w:tcPr>
            <w:tcW w:w="0" w:type="auto"/>
            <w:vAlign w:val="center"/>
            <w:hideMark/>
          </w:tcPr>
          <w:p w14:paraId="49042EC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–0.28</w:t>
            </w:r>
          </w:p>
        </w:tc>
        <w:tc>
          <w:tcPr>
            <w:tcW w:w="0" w:type="auto"/>
            <w:vAlign w:val="center"/>
            <w:hideMark/>
          </w:tcPr>
          <w:p w14:paraId="40831D5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2131" w:type="dxa"/>
            <w:vAlign w:val="center"/>
            <w:hideMark/>
          </w:tcPr>
          <w:p w14:paraId="01084AD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–0.32 – –0.24</w:t>
            </w:r>
          </w:p>
        </w:tc>
        <w:tc>
          <w:tcPr>
            <w:tcW w:w="725" w:type="dxa"/>
            <w:vAlign w:val="center"/>
            <w:hideMark/>
          </w:tcPr>
          <w:p w14:paraId="362C36E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246" w:type="dxa"/>
            <w:vAlign w:val="center"/>
            <w:hideMark/>
          </w:tcPr>
          <w:p w14:paraId="594428F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962" w:type="dxa"/>
            <w:vAlign w:val="center"/>
            <w:hideMark/>
          </w:tcPr>
          <w:p w14:paraId="26E4959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806" w:type="dxa"/>
            <w:vAlign w:val="center"/>
            <w:hideMark/>
          </w:tcPr>
          <w:p w14:paraId="2A4BF0D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ED1CCD" w:rsidRPr="00A675B3" w14:paraId="2B3CC290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5968196C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Random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effect variance (intercept)</w:t>
            </w:r>
          </w:p>
        </w:tc>
        <w:tc>
          <w:tcPr>
            <w:tcW w:w="0" w:type="auto"/>
            <w:vAlign w:val="center"/>
            <w:hideMark/>
          </w:tcPr>
          <w:p w14:paraId="09A43C6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0.41</w:t>
            </w:r>
          </w:p>
        </w:tc>
        <w:tc>
          <w:tcPr>
            <w:tcW w:w="0" w:type="auto"/>
            <w:vAlign w:val="center"/>
            <w:hideMark/>
          </w:tcPr>
          <w:p w14:paraId="7CAEBC3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5676B68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23448C3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17C4F96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962" w:type="dxa"/>
            <w:vAlign w:val="center"/>
            <w:hideMark/>
          </w:tcPr>
          <w:p w14:paraId="7AA06D7B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806" w:type="dxa"/>
            <w:vAlign w:val="center"/>
            <w:hideMark/>
          </w:tcPr>
          <w:p w14:paraId="7795070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ED1CCD" w:rsidRPr="00A675B3" w14:paraId="3C3029AB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5500C862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Residual variance</w:t>
            </w:r>
          </w:p>
        </w:tc>
        <w:tc>
          <w:tcPr>
            <w:tcW w:w="0" w:type="auto"/>
            <w:vAlign w:val="center"/>
            <w:hideMark/>
          </w:tcPr>
          <w:p w14:paraId="1A1428A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0" w:type="auto"/>
            <w:vAlign w:val="center"/>
            <w:hideMark/>
          </w:tcPr>
          <w:p w14:paraId="12693CDB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6A50666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2974D31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01D2B4C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962" w:type="dxa"/>
            <w:vAlign w:val="center"/>
            <w:hideMark/>
          </w:tcPr>
          <w:p w14:paraId="0B6E229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806" w:type="dxa"/>
            <w:vAlign w:val="center"/>
            <w:hideMark/>
          </w:tcPr>
          <w:p w14:paraId="1B30DA3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ED1CCD" w:rsidRPr="00A675B3" w14:paraId="3ABFB4F8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1EBB4A78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Slope association parameter§</w:t>
            </w:r>
          </w:p>
        </w:tc>
        <w:tc>
          <w:tcPr>
            <w:tcW w:w="0" w:type="auto"/>
            <w:vAlign w:val="center"/>
            <w:hideMark/>
          </w:tcPr>
          <w:p w14:paraId="1224A86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5C28F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219D620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2DC5900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0F32A02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962" w:type="dxa"/>
            <w:vAlign w:val="center"/>
            <w:hideMark/>
          </w:tcPr>
          <w:p w14:paraId="2436C29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0.55 – 0.92</w:t>
            </w:r>
          </w:p>
        </w:tc>
        <w:tc>
          <w:tcPr>
            <w:tcW w:w="806" w:type="dxa"/>
            <w:vAlign w:val="center"/>
            <w:hideMark/>
          </w:tcPr>
          <w:p w14:paraId="63D3430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</w:tr>
      <w:tr w:rsidR="00ED1CCD" w:rsidRPr="00A675B3" w14:paraId="76F64448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678E5BDE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 (per </w:t>
            </w:r>
            <w:proofErr w:type="spellStart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yr</w:t>
            </w:r>
            <w:proofErr w:type="spellEnd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67425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68022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68268A9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29A0DF6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1BA79D5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962" w:type="dxa"/>
            <w:vAlign w:val="center"/>
            <w:hideMark/>
          </w:tcPr>
          <w:p w14:paraId="084B85B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 – 1.08</w:t>
            </w:r>
          </w:p>
        </w:tc>
        <w:tc>
          <w:tcPr>
            <w:tcW w:w="806" w:type="dxa"/>
            <w:vAlign w:val="center"/>
            <w:hideMark/>
          </w:tcPr>
          <w:p w14:paraId="5455B464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</w:tr>
      <w:tr w:rsidR="00ED1CCD" w:rsidRPr="00A675B3" w14:paraId="4C3A2EAA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60A663D5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APACHE II (per </w:t>
            </w:r>
            <w:proofErr w:type="spellStart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A50CEF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2021A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20B9158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777AFB6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440AD2A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1.07</w:t>
            </w:r>
          </w:p>
        </w:tc>
        <w:tc>
          <w:tcPr>
            <w:tcW w:w="962" w:type="dxa"/>
            <w:vAlign w:val="center"/>
            <w:hideMark/>
          </w:tcPr>
          <w:p w14:paraId="6E40AB8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 – 1.12</w:t>
            </w:r>
          </w:p>
        </w:tc>
        <w:tc>
          <w:tcPr>
            <w:tcW w:w="806" w:type="dxa"/>
            <w:vAlign w:val="center"/>
            <w:hideMark/>
          </w:tcPr>
          <w:p w14:paraId="4201703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ED1CCD" w:rsidRPr="00A675B3" w14:paraId="2F1CBAA2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6F1D1D4D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likelihood</w:t>
            </w:r>
          </w:p>
        </w:tc>
        <w:tc>
          <w:tcPr>
            <w:tcW w:w="0" w:type="auto"/>
            <w:vAlign w:val="center"/>
            <w:hideMark/>
          </w:tcPr>
          <w:p w14:paraId="4AFA023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–912.4</w:t>
            </w:r>
          </w:p>
        </w:tc>
        <w:tc>
          <w:tcPr>
            <w:tcW w:w="0" w:type="auto"/>
            <w:vAlign w:val="center"/>
            <w:hideMark/>
          </w:tcPr>
          <w:p w14:paraId="7434D45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  <w:hideMark/>
          </w:tcPr>
          <w:p w14:paraId="29C238C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  <w:hideMark/>
          </w:tcPr>
          <w:p w14:paraId="1B095F8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  <w:hideMark/>
          </w:tcPr>
          <w:p w14:paraId="51A3403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  <w:hideMark/>
          </w:tcPr>
          <w:p w14:paraId="7EE4882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  <w:hideMark/>
          </w:tcPr>
          <w:p w14:paraId="204917A4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1CCD" w:rsidRPr="00A675B3" w14:paraId="0384C483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7C309A56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14:paraId="6F9DCC0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1 842.9</w:t>
            </w:r>
          </w:p>
        </w:tc>
        <w:tc>
          <w:tcPr>
            <w:tcW w:w="0" w:type="auto"/>
            <w:vAlign w:val="center"/>
            <w:hideMark/>
          </w:tcPr>
          <w:p w14:paraId="13A8187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  <w:hideMark/>
          </w:tcPr>
          <w:p w14:paraId="32BF0F1B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  <w:hideMark/>
          </w:tcPr>
          <w:p w14:paraId="66B3470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  <w:hideMark/>
          </w:tcPr>
          <w:p w14:paraId="06B9285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  <w:hideMark/>
          </w:tcPr>
          <w:p w14:paraId="084E80E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  <w:hideMark/>
          </w:tcPr>
          <w:p w14:paraId="46B4073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1CCD" w:rsidRPr="00A675B3" w14:paraId="0522AEAD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177383AC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Model 2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 </w:t>
            </w: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(Procalcitonin)</w:t>
            </w:r>
          </w:p>
        </w:tc>
        <w:tc>
          <w:tcPr>
            <w:tcW w:w="0" w:type="auto"/>
            <w:vAlign w:val="center"/>
            <w:hideMark/>
          </w:tcPr>
          <w:p w14:paraId="458F2C2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9DF01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  <w:hideMark/>
          </w:tcPr>
          <w:p w14:paraId="6610A25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  <w:hideMark/>
          </w:tcPr>
          <w:p w14:paraId="27307A0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  <w:hideMark/>
          </w:tcPr>
          <w:p w14:paraId="09C5847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  <w:hideMark/>
          </w:tcPr>
          <w:p w14:paraId="79782FC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  <w:hideMark/>
          </w:tcPr>
          <w:p w14:paraId="12CE085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1CCD" w:rsidRPr="00A675B3" w14:paraId="449AA4C8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1E93D7C0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Intercept‡ (Day 0, ln ng mL⁻¹)</w:t>
            </w:r>
          </w:p>
        </w:tc>
        <w:tc>
          <w:tcPr>
            <w:tcW w:w="0" w:type="auto"/>
            <w:vAlign w:val="center"/>
            <w:hideMark/>
          </w:tcPr>
          <w:p w14:paraId="28C89D5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2.07</w:t>
            </w:r>
          </w:p>
        </w:tc>
        <w:tc>
          <w:tcPr>
            <w:tcW w:w="0" w:type="auto"/>
            <w:vAlign w:val="center"/>
            <w:hideMark/>
          </w:tcPr>
          <w:p w14:paraId="3349F6F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2131" w:type="dxa"/>
            <w:vAlign w:val="center"/>
            <w:hideMark/>
          </w:tcPr>
          <w:p w14:paraId="3794371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1.88 – 2.26</w:t>
            </w:r>
          </w:p>
        </w:tc>
        <w:tc>
          <w:tcPr>
            <w:tcW w:w="725" w:type="dxa"/>
            <w:vAlign w:val="center"/>
            <w:hideMark/>
          </w:tcPr>
          <w:p w14:paraId="4C11A97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246" w:type="dxa"/>
            <w:vAlign w:val="center"/>
            <w:hideMark/>
          </w:tcPr>
          <w:p w14:paraId="5C9F4B1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962" w:type="dxa"/>
            <w:vAlign w:val="center"/>
            <w:hideMark/>
          </w:tcPr>
          <w:p w14:paraId="660FA94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806" w:type="dxa"/>
            <w:vAlign w:val="center"/>
            <w:hideMark/>
          </w:tcPr>
          <w:p w14:paraId="01DE34C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ED1CCD" w:rsidRPr="00A675B3" w14:paraId="6FAB338F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7BB0703C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 (per day)</w:t>
            </w:r>
          </w:p>
        </w:tc>
        <w:tc>
          <w:tcPr>
            <w:tcW w:w="0" w:type="auto"/>
            <w:vAlign w:val="center"/>
            <w:hideMark/>
          </w:tcPr>
          <w:p w14:paraId="3ACEAE0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–0.26</w:t>
            </w:r>
          </w:p>
        </w:tc>
        <w:tc>
          <w:tcPr>
            <w:tcW w:w="0" w:type="auto"/>
            <w:vAlign w:val="center"/>
            <w:hideMark/>
          </w:tcPr>
          <w:p w14:paraId="25F607C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2131" w:type="dxa"/>
            <w:vAlign w:val="center"/>
            <w:hideMark/>
          </w:tcPr>
          <w:p w14:paraId="6A940AB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–0.30 – –0.22</w:t>
            </w:r>
          </w:p>
        </w:tc>
        <w:tc>
          <w:tcPr>
            <w:tcW w:w="725" w:type="dxa"/>
            <w:vAlign w:val="center"/>
            <w:hideMark/>
          </w:tcPr>
          <w:p w14:paraId="4C6D0B7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246" w:type="dxa"/>
            <w:vAlign w:val="center"/>
            <w:hideMark/>
          </w:tcPr>
          <w:p w14:paraId="0E5EACE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962" w:type="dxa"/>
            <w:vAlign w:val="center"/>
            <w:hideMark/>
          </w:tcPr>
          <w:p w14:paraId="611BE25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806" w:type="dxa"/>
            <w:vAlign w:val="center"/>
            <w:hideMark/>
          </w:tcPr>
          <w:p w14:paraId="05C8492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ED1CCD" w:rsidRPr="00A675B3" w14:paraId="7C78A2C8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15E5DF5A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Random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effect variance (intercept)</w:t>
            </w:r>
          </w:p>
        </w:tc>
        <w:tc>
          <w:tcPr>
            <w:tcW w:w="0" w:type="auto"/>
            <w:vAlign w:val="center"/>
            <w:hideMark/>
          </w:tcPr>
          <w:p w14:paraId="2EB6307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0" w:type="auto"/>
            <w:vAlign w:val="center"/>
            <w:hideMark/>
          </w:tcPr>
          <w:p w14:paraId="1E6E755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0E97525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5E3F542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3E8C805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962" w:type="dxa"/>
            <w:vAlign w:val="center"/>
            <w:hideMark/>
          </w:tcPr>
          <w:p w14:paraId="2F243C1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806" w:type="dxa"/>
            <w:vAlign w:val="center"/>
            <w:hideMark/>
          </w:tcPr>
          <w:p w14:paraId="1C22C1F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ED1CCD" w:rsidRPr="00A675B3" w14:paraId="206B61F1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3B09C260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Residual variance</w:t>
            </w:r>
          </w:p>
        </w:tc>
        <w:tc>
          <w:tcPr>
            <w:tcW w:w="0" w:type="auto"/>
            <w:vAlign w:val="center"/>
            <w:hideMark/>
          </w:tcPr>
          <w:p w14:paraId="0072B02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14:paraId="4ADB678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5E1FB72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01C33EC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3A4CDED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962" w:type="dxa"/>
            <w:vAlign w:val="center"/>
            <w:hideMark/>
          </w:tcPr>
          <w:p w14:paraId="320DC9E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806" w:type="dxa"/>
            <w:vAlign w:val="center"/>
            <w:hideMark/>
          </w:tcPr>
          <w:p w14:paraId="5608888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ED1CCD" w:rsidRPr="00A675B3" w14:paraId="492E385B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5299106C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Slope association parameter§</w:t>
            </w:r>
          </w:p>
        </w:tc>
        <w:tc>
          <w:tcPr>
            <w:tcW w:w="0" w:type="auto"/>
            <w:vAlign w:val="center"/>
            <w:hideMark/>
          </w:tcPr>
          <w:p w14:paraId="5517F01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61F7E0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536F003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64687F3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17E5727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5B3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962" w:type="dxa"/>
            <w:vAlign w:val="center"/>
            <w:hideMark/>
          </w:tcPr>
          <w:p w14:paraId="58661BD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0.58 – 0.96</w:t>
            </w:r>
          </w:p>
        </w:tc>
        <w:tc>
          <w:tcPr>
            <w:tcW w:w="806" w:type="dxa"/>
            <w:vAlign w:val="center"/>
            <w:hideMark/>
          </w:tcPr>
          <w:p w14:paraId="60481A85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</w:tr>
      <w:tr w:rsidR="00ED1CCD" w:rsidRPr="00A675B3" w14:paraId="7A3738F6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0D34E54F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 (per </w:t>
            </w:r>
            <w:proofErr w:type="spellStart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yr</w:t>
            </w:r>
            <w:proofErr w:type="spellEnd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4DD0E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541983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7263B07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7576E64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6D6D329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962" w:type="dxa"/>
            <w:vAlign w:val="center"/>
            <w:hideMark/>
          </w:tcPr>
          <w:p w14:paraId="113AD45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 – 1.08</w:t>
            </w:r>
          </w:p>
        </w:tc>
        <w:tc>
          <w:tcPr>
            <w:tcW w:w="806" w:type="dxa"/>
            <w:vAlign w:val="center"/>
            <w:hideMark/>
          </w:tcPr>
          <w:p w14:paraId="18F1402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</w:tr>
      <w:tr w:rsidR="00ED1CCD" w:rsidRPr="00A675B3" w14:paraId="455EC2CA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33912DEE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APACHE II (per </w:t>
            </w:r>
            <w:proofErr w:type="spellStart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39BC0F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47158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2131" w:type="dxa"/>
            <w:vAlign w:val="center"/>
            <w:hideMark/>
          </w:tcPr>
          <w:p w14:paraId="6711CCA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725" w:type="dxa"/>
            <w:vAlign w:val="center"/>
            <w:hideMark/>
          </w:tcPr>
          <w:p w14:paraId="30E5497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1246" w:type="dxa"/>
            <w:vAlign w:val="center"/>
            <w:hideMark/>
          </w:tcPr>
          <w:p w14:paraId="673FF414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962" w:type="dxa"/>
            <w:vAlign w:val="center"/>
            <w:hideMark/>
          </w:tcPr>
          <w:p w14:paraId="1B8396A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 – 1.13</w:t>
            </w:r>
          </w:p>
        </w:tc>
        <w:tc>
          <w:tcPr>
            <w:tcW w:w="806" w:type="dxa"/>
            <w:vAlign w:val="center"/>
            <w:hideMark/>
          </w:tcPr>
          <w:p w14:paraId="22377A6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ED1CCD" w:rsidRPr="00A675B3" w14:paraId="75DBCA70" w14:textId="77777777" w:rsidTr="00ED1CCD">
        <w:trPr>
          <w:tblCellSpacing w:w="15" w:type="dxa"/>
          <w:jc w:val="center"/>
        </w:trPr>
        <w:tc>
          <w:tcPr>
            <w:tcW w:w="3213" w:type="dxa"/>
            <w:vAlign w:val="center"/>
            <w:hideMark/>
          </w:tcPr>
          <w:p w14:paraId="5F639A45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</w:t>
            </w: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noBreakHyphen/>
              <w:t>likelihood</w:t>
            </w:r>
          </w:p>
        </w:tc>
        <w:tc>
          <w:tcPr>
            <w:tcW w:w="0" w:type="auto"/>
            <w:vAlign w:val="center"/>
            <w:hideMark/>
          </w:tcPr>
          <w:p w14:paraId="0B222F92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–884.7</w:t>
            </w:r>
          </w:p>
        </w:tc>
        <w:tc>
          <w:tcPr>
            <w:tcW w:w="0" w:type="auto"/>
            <w:vAlign w:val="center"/>
            <w:hideMark/>
          </w:tcPr>
          <w:p w14:paraId="3987BA19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  <w:hideMark/>
          </w:tcPr>
          <w:p w14:paraId="26FB248E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  <w:hideMark/>
          </w:tcPr>
          <w:p w14:paraId="0BB61C67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  <w:hideMark/>
          </w:tcPr>
          <w:p w14:paraId="646C537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  <w:hideMark/>
          </w:tcPr>
          <w:p w14:paraId="2ACAD0FA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  <w:hideMark/>
          </w:tcPr>
          <w:p w14:paraId="41BFCB0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1CCD" w:rsidRPr="00A675B3" w14:paraId="573DCA44" w14:textId="77777777" w:rsidTr="00ED1CCD">
        <w:trPr>
          <w:tblCellSpacing w:w="15" w:type="dxa"/>
          <w:jc w:val="center"/>
        </w:trPr>
        <w:tc>
          <w:tcPr>
            <w:tcW w:w="3213" w:type="dxa"/>
            <w:tcBorders>
              <w:bottom w:val="single" w:sz="4" w:space="0" w:color="auto"/>
            </w:tcBorders>
            <w:vAlign w:val="center"/>
            <w:hideMark/>
          </w:tcPr>
          <w:p w14:paraId="0BF22C2B" w14:textId="77777777" w:rsidR="00ED1CCD" w:rsidRPr="00A675B3" w:rsidRDefault="00ED1CCD" w:rsidP="00F6137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4951C4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1 777.5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6B9608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  <w:hideMark/>
          </w:tcPr>
          <w:p w14:paraId="05678581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  <w:hideMark/>
          </w:tcPr>
          <w:p w14:paraId="6F795C1C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  <w:hideMark/>
          </w:tcPr>
          <w:p w14:paraId="1DCF8B7F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14:paraId="3E273B36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  <w:hideMark/>
          </w:tcPr>
          <w:p w14:paraId="021769AD" w14:textId="77777777" w:rsidR="00ED1CCD" w:rsidRPr="00A675B3" w:rsidRDefault="00ED1CCD" w:rsidP="00F6137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8858A4A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>* Longitudinal sub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  <w:t>models fitted with random intercepts and unstructured residuals; CRP and PCT values were log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  <w:t>transformed.</w:t>
      </w:r>
    </w:p>
    <w:p w14:paraId="361725D4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>† Baseline hazard estimated with piece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  <w:t>wise constant functions (1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  <w:t>day intervals).</w:t>
      </w:r>
    </w:p>
    <w:p w14:paraId="3113140D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>‡ Back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  <w:t>transformation gives a geometric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  <w:t>mean baseline CRP of ≈ 131 mg/L and PCT of ≈ 7.9 ng/mL, matching Table 2.</w:t>
      </w:r>
    </w:p>
    <w:p w14:paraId="43F50EFD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both"/>
        <w:rPr>
          <w:rStyle w:val="af2"/>
          <w:rFonts w:ascii="Times New Roman" w:hAnsi="Times New Roman" w:cs="Times New Roman"/>
          <w:color w:val="000000" w:themeColor="text1"/>
        </w:rPr>
      </w:pP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§ Hazard ratio (HR) for each </w:t>
      </w:r>
      <w:r w:rsidRPr="00A675B3">
        <w:rPr>
          <w:rStyle w:val="af2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50% steeper decline</w:t>
      </w:r>
      <w:r w:rsidRPr="00A675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biomarker over the first week; HR &lt; 1 indicates lower mortality risk with faster normalization.</w:t>
      </w:r>
    </w:p>
    <w:p w14:paraId="2B4CD8B4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both"/>
        <w:rPr>
          <w:rStyle w:val="af2"/>
          <w:rFonts w:ascii="Times New Roman" w:hAnsi="Times New Roman" w:cs="Times New Roman"/>
          <w:color w:val="000000" w:themeColor="text1"/>
        </w:rPr>
        <w:sectPr w:rsidR="00ED1CCD" w:rsidRPr="00A675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DF1984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center"/>
        <w:rPr>
          <w:rStyle w:val="af2"/>
          <w:rFonts w:ascii="Times New Roman" w:hAnsi="Times New Roman" w:cs="Times New Roman"/>
          <w:color w:val="000000" w:themeColor="text1"/>
        </w:rPr>
      </w:pPr>
      <w:r w:rsidRPr="00A675B3">
        <w:rPr>
          <w:rStyle w:val="af2"/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2394D53C" wp14:editId="1FC52502">
            <wp:extent cx="5274310" cy="2373630"/>
            <wp:effectExtent l="0" t="0" r="0" b="1270"/>
            <wp:docPr id="1610594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942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28D49" w14:textId="77777777" w:rsidR="00ED1CCD" w:rsidRPr="00A675B3" w:rsidRDefault="00ED1CCD" w:rsidP="00ED1CCD">
      <w:pPr>
        <w:pStyle w:val="Web"/>
        <w:spacing w:before="0" w:beforeAutospacing="0" w:after="0" w:afterAutospacing="0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75B3">
        <w:rPr>
          <w:rStyle w:val="af2"/>
          <w:rFonts w:ascii="Times New Roman" w:hAnsi="Times New Roman" w:cs="Times New Roman"/>
          <w:color w:val="000000" w:themeColor="text1"/>
        </w:rPr>
        <w:t>Supplementary Figure S1.</w:t>
      </w:r>
      <w:r w:rsidRPr="00A675B3">
        <w:rPr>
          <w:rStyle w:val="af2"/>
          <w:rFonts w:ascii="Times New Roman" w:hAnsi="Times New Roman" w:cs="Times New Roman"/>
          <w:color w:val="000000" w:themeColor="text1"/>
        </w:rPr>
        <w:t> </w:t>
      </w:r>
      <w:r w:rsidRPr="00A675B3">
        <w:rPr>
          <w:rStyle w:val="af2"/>
          <w:rFonts w:ascii="Times New Roman" w:hAnsi="Times New Roman" w:cs="Times New Roman"/>
          <w:color w:val="000000" w:themeColor="text1"/>
        </w:rPr>
        <w:t>Temporal trajectories of inflammatory biomarkers in severe pneumonia.</w:t>
      </w:r>
      <w:r w:rsidRPr="00A675B3">
        <w:rPr>
          <w:rFonts w:ascii="Times New Roman" w:hAnsi="Times New Roman" w:cs="Times New Roman"/>
          <w:color w:val="000000" w:themeColor="text1"/>
        </w:rPr>
        <w:t xml:space="preserve"> Median C</w:t>
      </w:r>
      <w:r w:rsidRPr="00A675B3">
        <w:rPr>
          <w:rFonts w:ascii="Times New Roman" w:hAnsi="Times New Roman" w:cs="Times New Roman"/>
          <w:color w:val="000000" w:themeColor="text1"/>
        </w:rPr>
        <w:noBreakHyphen/>
        <w:t>reactive protein (CRP, panel A) and procalcitonin (PCT, panel B) concentrations are plotted at ICU admission (Day 0) and on Days 1, 3, 5 and 7, stratified by 30</w:t>
      </w:r>
      <w:r w:rsidRPr="00A675B3">
        <w:rPr>
          <w:rFonts w:ascii="Times New Roman" w:hAnsi="Times New Roman" w:cs="Times New Roman"/>
          <w:color w:val="000000" w:themeColor="text1"/>
        </w:rPr>
        <w:noBreakHyphen/>
        <w:t>day outcome. Solid lines depict the group median; shaded ribbons indicate the inter</w:t>
      </w:r>
      <w:r w:rsidRPr="00A675B3">
        <w:rPr>
          <w:rFonts w:ascii="Times New Roman" w:hAnsi="Times New Roman" w:cs="Times New Roman"/>
          <w:color w:val="000000" w:themeColor="text1"/>
        </w:rPr>
        <w:noBreakHyphen/>
        <w:t>quartile range (IQR). Survivors (n = 160) show a markedly steeper decline in both biomarkers during the first 72 h compared with non</w:t>
      </w:r>
      <w:r w:rsidRPr="00A675B3">
        <w:rPr>
          <w:rFonts w:ascii="Times New Roman" w:hAnsi="Times New Roman" w:cs="Times New Roman"/>
          <w:color w:val="000000" w:themeColor="text1"/>
        </w:rPr>
        <w:noBreakHyphen/>
        <w:t>survivors (n = 40), visually mirroring the quantitative results from mixed</w:t>
      </w:r>
      <w:r w:rsidRPr="00A675B3">
        <w:rPr>
          <w:rFonts w:ascii="Times New Roman" w:hAnsi="Times New Roman" w:cs="Times New Roman"/>
          <w:color w:val="000000" w:themeColor="text1"/>
        </w:rPr>
        <w:noBreakHyphen/>
        <w:t>effects and joint</w:t>
      </w:r>
      <w:r w:rsidRPr="00A675B3">
        <w:rPr>
          <w:rFonts w:ascii="Times New Roman" w:hAnsi="Times New Roman" w:cs="Times New Roman"/>
          <w:color w:val="000000" w:themeColor="text1"/>
        </w:rPr>
        <w:noBreakHyphen/>
        <w:t>model analyses.</w:t>
      </w:r>
    </w:p>
    <w:p w14:paraId="401D99E0" w14:textId="48B8AB1C" w:rsidR="00866F88" w:rsidRPr="00ED1CCD" w:rsidRDefault="00866F88" w:rsidP="00557ACD"/>
    <w:sectPr w:rsidR="00866F88" w:rsidRPr="00ED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A58C" w14:textId="77777777" w:rsidR="00EA3A29" w:rsidRDefault="00EA3A29" w:rsidP="007936B4">
      <w:r>
        <w:separator/>
      </w:r>
    </w:p>
  </w:endnote>
  <w:endnote w:type="continuationSeparator" w:id="0">
    <w:p w14:paraId="4976328A" w14:textId="77777777" w:rsidR="00EA3A29" w:rsidRDefault="00EA3A29" w:rsidP="0079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27A3" w14:textId="77777777" w:rsidR="00EA3A29" w:rsidRDefault="00EA3A29" w:rsidP="007936B4">
      <w:r>
        <w:separator/>
      </w:r>
    </w:p>
  </w:footnote>
  <w:footnote w:type="continuationSeparator" w:id="0">
    <w:p w14:paraId="3967A5E4" w14:textId="77777777" w:rsidR="00EA3A29" w:rsidRDefault="00EA3A29" w:rsidP="0079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8A"/>
    <w:rsid w:val="0002220A"/>
    <w:rsid w:val="00065E65"/>
    <w:rsid w:val="000D7B92"/>
    <w:rsid w:val="0010615A"/>
    <w:rsid w:val="001D30EF"/>
    <w:rsid w:val="001E7334"/>
    <w:rsid w:val="00200A4D"/>
    <w:rsid w:val="002B6D4F"/>
    <w:rsid w:val="00331AEC"/>
    <w:rsid w:val="003B5C95"/>
    <w:rsid w:val="0052257E"/>
    <w:rsid w:val="00523C24"/>
    <w:rsid w:val="00557ACD"/>
    <w:rsid w:val="00634FEB"/>
    <w:rsid w:val="006864D2"/>
    <w:rsid w:val="00762D61"/>
    <w:rsid w:val="007936B4"/>
    <w:rsid w:val="00866F88"/>
    <w:rsid w:val="00957E4A"/>
    <w:rsid w:val="009A16A5"/>
    <w:rsid w:val="00A4368A"/>
    <w:rsid w:val="00C6690E"/>
    <w:rsid w:val="00E218CB"/>
    <w:rsid w:val="00EA3A29"/>
    <w:rsid w:val="00EA4CDA"/>
    <w:rsid w:val="00EB5B6E"/>
    <w:rsid w:val="00ED1CCD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A0954"/>
  <w15:chartTrackingRefBased/>
  <w15:docId w15:val="{5C4D1903-AB1A-4C84-AD46-0128E496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6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6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68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6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6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6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36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4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4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36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368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A4368A"/>
    <w:rPr>
      <w:rFonts w:cstheme="majorBidi"/>
      <w:b/>
      <w:bCs/>
      <w:color w:val="0F4761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A4368A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368A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A43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6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4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6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43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3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6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436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36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36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頁首 字元"/>
    <w:basedOn w:val="a0"/>
    <w:link w:val="ae"/>
    <w:uiPriority w:val="99"/>
    <w:rsid w:val="007936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頁尾 字元"/>
    <w:basedOn w:val="a0"/>
    <w:link w:val="af0"/>
    <w:uiPriority w:val="99"/>
    <w:rsid w:val="007936B4"/>
    <w:rPr>
      <w:sz w:val="18"/>
      <w:szCs w:val="18"/>
    </w:rPr>
  </w:style>
  <w:style w:type="paragraph" w:styleId="Web">
    <w:name w:val="Normal (Web)"/>
    <w:basedOn w:val="a"/>
    <w:uiPriority w:val="99"/>
    <w:unhideWhenUsed/>
    <w:rsid w:val="00ED1CC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ED1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4</cp:revision>
  <dcterms:created xsi:type="dcterms:W3CDTF">2026-05-12T02:27:00Z</dcterms:created>
  <dcterms:modified xsi:type="dcterms:W3CDTF">2026-05-12T02:34:00Z</dcterms:modified>
</cp:coreProperties>
</file>