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9816" w14:textId="77777777" w:rsidR="00D93A27" w:rsidRPr="00270FD2" w:rsidRDefault="00D93A27" w:rsidP="00F30837">
      <w:pPr>
        <w:rPr>
          <w:rFonts w:ascii="Times New Roman" w:eastAsia="新細明體" w:hAnsi="Times New Roman" w:cs="Times New Roman"/>
          <w:b/>
          <w:bCs/>
          <w:sz w:val="28"/>
          <w:szCs w:val="28"/>
        </w:rPr>
      </w:pPr>
      <w:r w:rsidRPr="00270FD2">
        <w:rPr>
          <w:rFonts w:ascii="Times New Roman" w:eastAsia="新細明體" w:hAnsi="Times New Roman" w:cs="Times New Roman"/>
          <w:b/>
          <w:bCs/>
          <w:sz w:val="28"/>
          <w:szCs w:val="28"/>
        </w:rPr>
        <w:t>Multidisciplinary Care Associated with Quality of Life in Older Chronic Kidney Disease Patients: A Cross-Sectional Analysis of Routine Laboratory Data, Intrinsic Capacity and Activities of Daily Living</w:t>
      </w:r>
    </w:p>
    <w:p w14:paraId="3FE1336C" w14:textId="77777777" w:rsidR="00D93A27" w:rsidRPr="00270FD2" w:rsidRDefault="00D93A27" w:rsidP="00F30837">
      <w:pPr>
        <w:rPr>
          <w:rFonts w:ascii="Times New Roman" w:hAnsi="Times New Roman" w:cs="Times New Roman"/>
        </w:rPr>
      </w:pPr>
    </w:p>
    <w:p w14:paraId="3D7E8F40" w14:textId="77777777" w:rsidR="00D93A27" w:rsidRPr="00270FD2" w:rsidRDefault="00D93A27" w:rsidP="00585A17">
      <w:pPr>
        <w:adjustRightInd w:val="0"/>
        <w:snapToGrid w:val="0"/>
        <w:spacing w:after="0" w:line="276" w:lineRule="auto"/>
        <w:rPr>
          <w:rFonts w:ascii="Times New Roman" w:eastAsia="新細明體" w:hAnsi="Times New Roman" w:cs="Times New Roman"/>
          <w:sz w:val="28"/>
          <w:szCs w:val="28"/>
        </w:rPr>
      </w:pPr>
      <w:r w:rsidRPr="00270FD2">
        <w:rPr>
          <w:rFonts w:ascii="Times New Roman" w:eastAsia="新細明體" w:hAnsi="Times New Roman" w:cs="Times New Roman"/>
          <w:b/>
          <w:bCs/>
          <w:sz w:val="28"/>
          <w:szCs w:val="28"/>
        </w:rPr>
        <w:t xml:space="preserve">Supplement B. </w:t>
      </w:r>
      <w:r w:rsidRPr="00270FD2">
        <w:rPr>
          <w:rFonts w:ascii="Times New Roman" w:eastAsia="新細明體" w:hAnsi="Times New Roman" w:cs="Times New Roman"/>
          <w:sz w:val="28"/>
          <w:szCs w:val="28"/>
        </w:rPr>
        <w:t>Supplementary Materials</w:t>
      </w:r>
    </w:p>
    <w:p w14:paraId="3B4A5BFF" w14:textId="77777777" w:rsidR="00D93A27" w:rsidRPr="00270FD2" w:rsidRDefault="00D93A27" w:rsidP="00876CC3">
      <w:pPr>
        <w:rPr>
          <w:rFonts w:ascii="Times New Roman" w:hAnsi="Times New Roman" w:cs="Times New Roman"/>
          <w:b/>
          <w:bCs/>
        </w:rPr>
      </w:pPr>
    </w:p>
    <w:p w14:paraId="5E226CCD" w14:textId="721FA8CC" w:rsidR="00270FD2" w:rsidRPr="00270FD2" w:rsidRDefault="00270FD2" w:rsidP="00876C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FD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D93A27" w:rsidRPr="00270FD2">
        <w:rPr>
          <w:rFonts w:ascii="Times New Roman" w:hAnsi="Times New Roman" w:cs="Times New Roman"/>
          <w:b/>
          <w:bCs/>
          <w:sz w:val="28"/>
          <w:szCs w:val="28"/>
        </w:rPr>
        <w:t>Supplementary Method</w:t>
      </w:r>
      <w:r w:rsidRPr="00270FD2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2EB825FF" w14:textId="5FE7E3FE" w:rsidR="00D93A27" w:rsidRPr="00270FD2" w:rsidRDefault="00D93A27" w:rsidP="00876CC3">
      <w:pPr>
        <w:rPr>
          <w:rFonts w:ascii="Times New Roman" w:hAnsi="Times New Roman" w:cs="Times New Roman"/>
          <w:b/>
          <w:bCs/>
        </w:rPr>
      </w:pPr>
      <w:r w:rsidRPr="00270FD2">
        <w:rPr>
          <w:rFonts w:ascii="Times New Roman" w:hAnsi="Times New Roman" w:cs="Times New Roman"/>
          <w:b/>
          <w:bCs/>
        </w:rPr>
        <w:t xml:space="preserve">Detailed Information for Clninal Assessments </w:t>
      </w:r>
    </w:p>
    <w:p w14:paraId="699671BD" w14:textId="77777777" w:rsidR="00D93A27" w:rsidRPr="00270FD2" w:rsidRDefault="00D93A27" w:rsidP="002C4007">
      <w:pPr>
        <w:adjustRightInd w:val="0"/>
        <w:snapToGrid w:val="0"/>
        <w:spacing w:line="240" w:lineRule="auto"/>
        <w:ind w:firstLine="720"/>
        <w:rPr>
          <w:rFonts w:ascii="Times New Roman" w:eastAsia="新細明體" w:hAnsi="Times New Roman" w:cs="Times New Roman"/>
        </w:rPr>
      </w:pPr>
      <w:r w:rsidRPr="00270FD2">
        <w:rPr>
          <w:rFonts w:ascii="Times New Roman" w:eastAsia="新細明體" w:hAnsi="Times New Roman" w:cs="Times New Roman"/>
        </w:rPr>
        <w:t xml:space="preserve">Functional status included both BADL and IADL. BADL was measured by the Barthel Index (BI), a standardized questionnaire with 10 self-reported items </w:t>
      </w:r>
      <w:r w:rsidRPr="00270FD2">
        <w:rPr>
          <w:rFonts w:ascii="Times New Roman" w:eastAsia="新細明體" w:hAnsi="Times New Roman" w:cs="Times New Roman"/>
          <w:noProof/>
          <w:vertAlign w:val="superscript"/>
        </w:rPr>
        <w:t>1</w:t>
      </w:r>
      <w:r w:rsidRPr="00270FD2">
        <w:rPr>
          <w:rFonts w:ascii="Times New Roman" w:eastAsia="新細明體" w:hAnsi="Times New Roman" w:cs="Times New Roman"/>
        </w:rPr>
        <w:t xml:space="preserve">. The 10 items have varying score ranges, with all minimum scores set at 0 and maximum scores ranging from 5 to 15. The total score ranged from 0 to 100, with a higher BI score indicating a less dependent BADL. Its psychometric properties have been validated among Taiwanese older people </w:t>
      </w:r>
      <w:r w:rsidRPr="00270FD2">
        <w:rPr>
          <w:rFonts w:ascii="Times New Roman" w:eastAsia="新細明體" w:hAnsi="Times New Roman" w:cs="Times New Roman"/>
          <w:noProof/>
          <w:vertAlign w:val="superscript"/>
        </w:rPr>
        <w:t>2</w:t>
      </w:r>
      <w:r w:rsidRPr="00270FD2">
        <w:rPr>
          <w:rFonts w:ascii="Times New Roman" w:eastAsia="新細明體" w:hAnsi="Times New Roman" w:cs="Times New Roman"/>
        </w:rPr>
        <w:t xml:space="preserve">.  </w:t>
      </w:r>
    </w:p>
    <w:p w14:paraId="4B965226" w14:textId="77777777" w:rsidR="00D93A27" w:rsidRPr="00270FD2" w:rsidRDefault="00D93A27" w:rsidP="002C4007">
      <w:pPr>
        <w:adjustRightInd w:val="0"/>
        <w:snapToGrid w:val="0"/>
        <w:spacing w:line="240" w:lineRule="auto"/>
        <w:ind w:firstLine="720"/>
        <w:rPr>
          <w:rFonts w:ascii="Times New Roman" w:eastAsia="新細明體" w:hAnsi="Times New Roman" w:cs="Times New Roman"/>
        </w:rPr>
      </w:pPr>
      <w:r w:rsidRPr="00270FD2">
        <w:rPr>
          <w:rFonts w:ascii="Times New Roman" w:eastAsia="新細明體" w:hAnsi="Times New Roman" w:cs="Times New Roman"/>
        </w:rPr>
        <w:t xml:space="preserve">IADL was measured by the Lawton Instrumental Activities of Daily Life Scale (Lawton IADLS), a self-reported, eight-item questionnaire </w:t>
      </w:r>
      <w:r w:rsidRPr="00270FD2">
        <w:rPr>
          <w:rFonts w:ascii="Times New Roman" w:eastAsia="新細明體" w:hAnsi="Times New Roman" w:cs="Times New Roman"/>
          <w:noProof/>
          <w:vertAlign w:val="superscript"/>
        </w:rPr>
        <w:t>3</w:t>
      </w:r>
      <w:r w:rsidRPr="00270FD2">
        <w:rPr>
          <w:rFonts w:ascii="Times New Roman" w:eastAsia="新細明體" w:hAnsi="Times New Roman" w:cs="Times New Roman"/>
        </w:rPr>
        <w:t xml:space="preserve">. Each item offers three to five descriptions to indicate IADL dependence. Each description is scored as either 0 (independent) or 1 (dependent). The total scores range from 0 to 8, where a higher Lawton IADLS score indicates a greater level of IADL dependence. Its psychometric properties have been validated among Taiwanese older people </w:t>
      </w:r>
      <w:r w:rsidRPr="00270FD2">
        <w:rPr>
          <w:rFonts w:ascii="Times New Roman" w:eastAsia="新細明體" w:hAnsi="Times New Roman" w:cs="Times New Roman"/>
          <w:noProof/>
          <w:vertAlign w:val="superscript"/>
        </w:rPr>
        <w:t>4</w:t>
      </w:r>
      <w:r w:rsidRPr="00270FD2">
        <w:rPr>
          <w:rFonts w:ascii="Times New Roman" w:eastAsia="新細明體" w:hAnsi="Times New Roman" w:cs="Times New Roman"/>
        </w:rPr>
        <w:t>. For both BADL and IADL, the total score was used in linear regressions and Spearman’s correlation, while each item was adopted as a measured variable to construct a latent variable in the SEM.</w:t>
      </w:r>
    </w:p>
    <w:p w14:paraId="60DA6A9F" w14:textId="77777777" w:rsidR="00D93A27" w:rsidRPr="00270FD2" w:rsidRDefault="00D93A27" w:rsidP="002C4007">
      <w:pPr>
        <w:adjustRightInd w:val="0"/>
        <w:snapToGrid w:val="0"/>
        <w:spacing w:line="240" w:lineRule="auto"/>
        <w:ind w:firstLine="720"/>
        <w:rPr>
          <w:rFonts w:ascii="Times New Roman" w:eastAsia="新細明體" w:hAnsi="Times New Roman" w:cs="Times New Roman"/>
        </w:rPr>
      </w:pPr>
      <w:r w:rsidRPr="00270FD2">
        <w:rPr>
          <w:rFonts w:ascii="Times New Roman" w:eastAsia="新細明體" w:hAnsi="Times New Roman" w:cs="Times New Roman"/>
        </w:rPr>
        <w:t xml:space="preserve">Frailty was measured by the Clinical Frailty Scale (CFS), a clinical judgment-based tool with 9 levels of frailty </w:t>
      </w:r>
      <w:r w:rsidRPr="00270FD2">
        <w:rPr>
          <w:rFonts w:ascii="Times New Roman" w:eastAsia="新細明體" w:hAnsi="Times New Roman" w:cs="Times New Roman"/>
          <w:noProof/>
          <w:vertAlign w:val="superscript"/>
        </w:rPr>
        <w:t>5</w:t>
      </w:r>
      <w:r w:rsidRPr="00270FD2">
        <w:rPr>
          <w:rFonts w:ascii="Times New Roman" w:eastAsia="新細明體" w:hAnsi="Times New Roman" w:cs="Times New Roman"/>
        </w:rPr>
        <w:t xml:space="preserve">. The CFS evaluates specific domains such as fitness, activity, functional status, and cognition, to generate a score ranging from 1 (very fit) to 8 (very severely frail); 9 was referred to terminally ill but not otherwise living with severe frailty. The CFS had been translated and validated among Taiwanese older people </w:t>
      </w:r>
      <w:r w:rsidRPr="00270FD2">
        <w:rPr>
          <w:rFonts w:ascii="Times New Roman" w:eastAsia="新細明體" w:hAnsi="Times New Roman" w:cs="Times New Roman"/>
          <w:noProof/>
          <w:vertAlign w:val="superscript"/>
        </w:rPr>
        <w:t>6</w:t>
      </w:r>
      <w:r w:rsidRPr="00270FD2">
        <w:rPr>
          <w:rFonts w:ascii="Times New Roman" w:eastAsia="新細明體" w:hAnsi="Times New Roman" w:cs="Times New Roman"/>
        </w:rPr>
        <w:t>.</w:t>
      </w:r>
    </w:p>
    <w:p w14:paraId="36394867" w14:textId="77777777" w:rsidR="00D93A27" w:rsidRPr="00270FD2" w:rsidRDefault="00D93A27" w:rsidP="002C4007">
      <w:pPr>
        <w:adjustRightInd w:val="0"/>
        <w:snapToGrid w:val="0"/>
        <w:spacing w:line="240" w:lineRule="auto"/>
        <w:ind w:firstLine="720"/>
        <w:rPr>
          <w:rFonts w:ascii="Times New Roman" w:eastAsia="新細明體" w:hAnsi="Times New Roman" w:cs="Times New Roman"/>
        </w:rPr>
      </w:pPr>
      <w:r w:rsidRPr="00270FD2">
        <w:rPr>
          <w:rFonts w:ascii="Times New Roman" w:eastAsia="新細明體" w:hAnsi="Times New Roman" w:cs="Times New Roman"/>
        </w:rPr>
        <w:t xml:space="preserve">QOL was measured using the Taiwan version of WHOQOL-AGE questionnaire </w:t>
      </w:r>
      <w:r w:rsidRPr="00270FD2">
        <w:rPr>
          <w:rFonts w:ascii="Times New Roman" w:eastAsia="新細明體" w:hAnsi="Times New Roman" w:cs="Times New Roman"/>
          <w:noProof/>
          <w:vertAlign w:val="superscript"/>
        </w:rPr>
        <w:t>7</w:t>
      </w:r>
      <w:r w:rsidRPr="00270FD2">
        <w:rPr>
          <w:rFonts w:ascii="Times New Roman" w:eastAsia="新細明體" w:hAnsi="Times New Roman" w:cs="Times New Roman"/>
        </w:rPr>
        <w:t xml:space="preserve">. The WHOQOL-AGE was developed in European countries and published in 2013, </w:t>
      </w:r>
      <w:r w:rsidRPr="00270FD2">
        <w:rPr>
          <w:rFonts w:ascii="Times New Roman" w:eastAsia="新細明體" w:hAnsi="Times New Roman" w:cs="Times New Roman"/>
          <w:noProof/>
          <w:vertAlign w:val="superscript"/>
        </w:rPr>
        <w:t>8</w:t>
      </w:r>
      <w:r w:rsidRPr="00270FD2">
        <w:rPr>
          <w:rFonts w:ascii="Times New Roman" w:eastAsia="新細明體" w:hAnsi="Times New Roman" w:cs="Times New Roman"/>
        </w:rPr>
        <w:t xml:space="preserve">. It required shorter administration time compared with earlier instruments such as the Elderly Quality of Life Index (EQOLI) and WHOQOL-BREF, while having good psychometric properties among the older population. The Taiwan version of WHOQOL-AGE has been translated and validated </w:t>
      </w:r>
      <w:r w:rsidRPr="00270FD2">
        <w:rPr>
          <w:rFonts w:ascii="Times New Roman" w:eastAsia="新細明體" w:hAnsi="Times New Roman" w:cs="Times New Roman"/>
          <w:noProof/>
          <w:vertAlign w:val="superscript"/>
        </w:rPr>
        <w:t>7</w:t>
      </w:r>
      <w:r w:rsidRPr="00270FD2">
        <w:rPr>
          <w:rFonts w:ascii="Times New Roman" w:eastAsia="新細明體" w:hAnsi="Times New Roman" w:cs="Times New Roman"/>
        </w:rPr>
        <w:t>. It comprises 13 questions, each score from 0 to 4 and the total score ranges from 0 to 52, where a higher score indicates more satisfactory QOL.</w:t>
      </w:r>
    </w:p>
    <w:p w14:paraId="57AF1D60" w14:textId="77777777" w:rsidR="00270FD2" w:rsidRPr="00270FD2" w:rsidRDefault="00270FD2" w:rsidP="002C4007">
      <w:pPr>
        <w:adjustRightInd w:val="0"/>
        <w:snapToGrid w:val="0"/>
        <w:spacing w:line="240" w:lineRule="auto"/>
        <w:ind w:firstLine="720"/>
        <w:rPr>
          <w:rFonts w:ascii="Times New Roman" w:eastAsia="新細明體" w:hAnsi="Times New Roman" w:cs="Times New Roman"/>
        </w:rPr>
      </w:pPr>
    </w:p>
    <w:p w14:paraId="4445FEDB" w14:textId="1A6EEB06" w:rsidR="00270FD2" w:rsidRPr="00270FD2" w:rsidRDefault="00270FD2" w:rsidP="00270FD2">
      <w:pPr>
        <w:adjustRightInd w:val="0"/>
        <w:snapToGrid w:val="0"/>
        <w:spacing w:line="240" w:lineRule="auto"/>
        <w:rPr>
          <w:rFonts w:ascii="Times New Roman" w:eastAsia="新細明體" w:hAnsi="Times New Roman" w:cs="Times New Roman"/>
          <w:b/>
          <w:bCs/>
        </w:rPr>
      </w:pPr>
      <w:r w:rsidRPr="00270FD2">
        <w:rPr>
          <w:rFonts w:ascii="Times New Roman" w:eastAsia="新細明體" w:hAnsi="Times New Roman" w:cs="Times New Roman"/>
          <w:b/>
          <w:bCs/>
        </w:rPr>
        <w:t>Reference</w:t>
      </w:r>
    </w:p>
    <w:p w14:paraId="4A166C4C" w14:textId="77777777" w:rsidR="00270FD2" w:rsidRPr="00270FD2" w:rsidRDefault="00270FD2" w:rsidP="00270FD2">
      <w:pPr>
        <w:pStyle w:val="EndNoteBibliography"/>
        <w:spacing w:after="0"/>
        <w:rPr>
          <w:rFonts w:ascii="Times New Roman" w:hAnsi="Times New Roman" w:cs="Times New Roman"/>
          <w:sz w:val="20"/>
          <w:szCs w:val="20"/>
        </w:rPr>
      </w:pPr>
      <w:r w:rsidRPr="00270FD2">
        <w:rPr>
          <w:rFonts w:ascii="Times New Roman" w:hAnsi="Times New Roman" w:cs="Times New Roman"/>
          <w:sz w:val="20"/>
          <w:szCs w:val="20"/>
        </w:rPr>
        <w:t>1.</w:t>
      </w:r>
      <w:r w:rsidRPr="00270FD2">
        <w:rPr>
          <w:rFonts w:ascii="Times New Roman" w:hAnsi="Times New Roman" w:cs="Times New Roman"/>
          <w:sz w:val="20"/>
          <w:szCs w:val="20"/>
        </w:rPr>
        <w:tab/>
        <w:t xml:space="preserve">Mahoney FI, Barthel DW. Functional evaluation: the Barthel Index: a simple index of </w:t>
      </w:r>
      <w:r w:rsidRPr="00270FD2">
        <w:rPr>
          <w:rFonts w:ascii="Times New Roman" w:hAnsi="Times New Roman" w:cs="Times New Roman"/>
          <w:sz w:val="20"/>
          <w:szCs w:val="20"/>
        </w:rPr>
        <w:lastRenderedPageBreak/>
        <w:t xml:space="preserve">independence useful in scoring improvement in the rehabilitation of the chronically ill. </w:t>
      </w:r>
      <w:r w:rsidRPr="00270FD2">
        <w:rPr>
          <w:rFonts w:ascii="Times New Roman" w:hAnsi="Times New Roman" w:cs="Times New Roman"/>
          <w:i/>
          <w:sz w:val="20"/>
          <w:szCs w:val="20"/>
        </w:rPr>
        <w:t>Maryland state medical journal</w:t>
      </w:r>
      <w:r w:rsidRPr="00270FD2">
        <w:rPr>
          <w:rFonts w:ascii="Times New Roman" w:hAnsi="Times New Roman" w:cs="Times New Roman"/>
          <w:sz w:val="20"/>
          <w:szCs w:val="20"/>
        </w:rPr>
        <w:t>. 1965;</w:t>
      </w:r>
    </w:p>
    <w:p w14:paraId="5945807E" w14:textId="77777777" w:rsidR="00270FD2" w:rsidRPr="00270FD2" w:rsidRDefault="00270FD2" w:rsidP="00270FD2">
      <w:pPr>
        <w:pStyle w:val="EndNoteBibliography"/>
        <w:spacing w:after="0"/>
        <w:rPr>
          <w:rFonts w:ascii="Times New Roman" w:hAnsi="Times New Roman" w:cs="Times New Roman"/>
          <w:sz w:val="20"/>
          <w:szCs w:val="20"/>
        </w:rPr>
      </w:pPr>
      <w:r w:rsidRPr="00270FD2">
        <w:rPr>
          <w:rFonts w:ascii="Times New Roman" w:hAnsi="Times New Roman" w:cs="Times New Roman"/>
          <w:sz w:val="20"/>
          <w:szCs w:val="20"/>
        </w:rPr>
        <w:t>2.</w:t>
      </w:r>
      <w:r w:rsidRPr="00270FD2">
        <w:rPr>
          <w:rFonts w:ascii="Times New Roman" w:hAnsi="Times New Roman" w:cs="Times New Roman"/>
          <w:sz w:val="20"/>
          <w:szCs w:val="20"/>
        </w:rPr>
        <w:tab/>
        <w:t xml:space="preserve">Hsueh IP, Lee MM, Hsieh CL. Psychometric characteristics of the Barthel activities of daily living index in stroke patients. </w:t>
      </w:r>
      <w:r w:rsidRPr="00270FD2">
        <w:rPr>
          <w:rFonts w:ascii="Times New Roman" w:hAnsi="Times New Roman" w:cs="Times New Roman"/>
          <w:i/>
          <w:sz w:val="20"/>
          <w:szCs w:val="20"/>
        </w:rPr>
        <w:t>J Formos Med Assoc</w:t>
      </w:r>
      <w:r w:rsidRPr="00270FD2">
        <w:rPr>
          <w:rFonts w:ascii="Times New Roman" w:hAnsi="Times New Roman" w:cs="Times New Roman"/>
          <w:sz w:val="20"/>
          <w:szCs w:val="20"/>
        </w:rPr>
        <w:t xml:space="preserve">. Aug 2001;100(8):526-32. </w:t>
      </w:r>
    </w:p>
    <w:p w14:paraId="5A5F364B" w14:textId="77777777" w:rsidR="00270FD2" w:rsidRPr="00270FD2" w:rsidRDefault="00270FD2" w:rsidP="00270FD2">
      <w:pPr>
        <w:pStyle w:val="EndNoteBibliography"/>
        <w:spacing w:after="0"/>
        <w:rPr>
          <w:rFonts w:ascii="Times New Roman" w:hAnsi="Times New Roman" w:cs="Times New Roman"/>
          <w:sz w:val="20"/>
          <w:szCs w:val="20"/>
        </w:rPr>
      </w:pPr>
      <w:r w:rsidRPr="00270FD2">
        <w:rPr>
          <w:rFonts w:ascii="Times New Roman" w:hAnsi="Times New Roman" w:cs="Times New Roman"/>
          <w:sz w:val="20"/>
          <w:szCs w:val="20"/>
        </w:rPr>
        <w:t>3.</w:t>
      </w:r>
      <w:r w:rsidRPr="00270FD2">
        <w:rPr>
          <w:rFonts w:ascii="Times New Roman" w:hAnsi="Times New Roman" w:cs="Times New Roman"/>
          <w:sz w:val="20"/>
          <w:szCs w:val="20"/>
        </w:rPr>
        <w:tab/>
        <w:t xml:space="preserve">Lawton MP, Brody EM. Assessment of older people: self-maintaining and instrumental activities of daily living. </w:t>
      </w:r>
      <w:r w:rsidRPr="00270FD2">
        <w:rPr>
          <w:rFonts w:ascii="Times New Roman" w:hAnsi="Times New Roman" w:cs="Times New Roman"/>
          <w:i/>
          <w:sz w:val="20"/>
          <w:szCs w:val="20"/>
        </w:rPr>
        <w:t>Gerontologist</w:t>
      </w:r>
      <w:r w:rsidRPr="00270FD2">
        <w:rPr>
          <w:rFonts w:ascii="Times New Roman" w:hAnsi="Times New Roman" w:cs="Times New Roman"/>
          <w:sz w:val="20"/>
          <w:szCs w:val="20"/>
        </w:rPr>
        <w:t xml:space="preserve">. Autumn 1969;9(3):179-86. </w:t>
      </w:r>
    </w:p>
    <w:p w14:paraId="11B2B0E4" w14:textId="77777777" w:rsidR="00270FD2" w:rsidRPr="00270FD2" w:rsidRDefault="00270FD2" w:rsidP="00270FD2">
      <w:pPr>
        <w:pStyle w:val="EndNoteBibliography"/>
        <w:spacing w:after="0"/>
        <w:rPr>
          <w:rFonts w:ascii="Times New Roman" w:hAnsi="Times New Roman" w:cs="Times New Roman"/>
          <w:sz w:val="20"/>
          <w:szCs w:val="20"/>
        </w:rPr>
      </w:pPr>
      <w:r w:rsidRPr="00270FD2">
        <w:rPr>
          <w:rFonts w:ascii="Times New Roman" w:hAnsi="Times New Roman" w:cs="Times New Roman"/>
          <w:sz w:val="20"/>
          <w:szCs w:val="20"/>
        </w:rPr>
        <w:t>4.</w:t>
      </w:r>
      <w:r w:rsidRPr="00270FD2">
        <w:rPr>
          <w:rFonts w:ascii="Times New Roman" w:hAnsi="Times New Roman" w:cs="Times New Roman"/>
          <w:sz w:val="20"/>
          <w:szCs w:val="20"/>
        </w:rPr>
        <w:tab/>
        <w:t xml:space="preserve">Chang H, Lee S, Chen P, Hsieh C. Assessment of Instrumental activities of Daily Living needs among residents in long-term care facilities. </w:t>
      </w:r>
      <w:r w:rsidRPr="00270FD2">
        <w:rPr>
          <w:rFonts w:ascii="Times New Roman" w:hAnsi="Times New Roman" w:cs="Times New Roman"/>
          <w:i/>
          <w:sz w:val="20"/>
          <w:szCs w:val="20"/>
        </w:rPr>
        <w:t>Taiwan Geriatrics and Gerontology</w:t>
      </w:r>
      <w:r w:rsidRPr="00270FD2">
        <w:rPr>
          <w:rFonts w:ascii="Times New Roman" w:hAnsi="Times New Roman" w:cs="Times New Roman"/>
          <w:sz w:val="20"/>
          <w:szCs w:val="20"/>
        </w:rPr>
        <w:t xml:space="preserve">. 2006;2(2):116-129. </w:t>
      </w:r>
    </w:p>
    <w:p w14:paraId="0F38E5E9" w14:textId="77777777" w:rsidR="00270FD2" w:rsidRPr="00270FD2" w:rsidRDefault="00270FD2" w:rsidP="00270FD2">
      <w:pPr>
        <w:pStyle w:val="EndNoteBibliography"/>
        <w:spacing w:after="0"/>
        <w:rPr>
          <w:rFonts w:ascii="Times New Roman" w:hAnsi="Times New Roman" w:cs="Times New Roman"/>
          <w:sz w:val="20"/>
          <w:szCs w:val="20"/>
        </w:rPr>
      </w:pPr>
      <w:r w:rsidRPr="00270FD2">
        <w:rPr>
          <w:rFonts w:ascii="Times New Roman" w:hAnsi="Times New Roman" w:cs="Times New Roman"/>
          <w:sz w:val="20"/>
          <w:szCs w:val="20"/>
        </w:rPr>
        <w:t>5.</w:t>
      </w:r>
      <w:r w:rsidRPr="00270FD2">
        <w:rPr>
          <w:rFonts w:ascii="Times New Roman" w:hAnsi="Times New Roman" w:cs="Times New Roman"/>
          <w:sz w:val="20"/>
          <w:szCs w:val="20"/>
        </w:rPr>
        <w:tab/>
        <w:t xml:space="preserve">Church S, Rogers E, Rockwood K, Theou O. A scoping review of the Clinical Frailty Scale. </w:t>
      </w:r>
      <w:r w:rsidRPr="00270FD2">
        <w:rPr>
          <w:rFonts w:ascii="Times New Roman" w:hAnsi="Times New Roman" w:cs="Times New Roman"/>
          <w:i/>
          <w:sz w:val="20"/>
          <w:szCs w:val="20"/>
        </w:rPr>
        <w:t>BMC Geriatr</w:t>
      </w:r>
      <w:r w:rsidRPr="00270FD2">
        <w:rPr>
          <w:rFonts w:ascii="Times New Roman" w:hAnsi="Times New Roman" w:cs="Times New Roman"/>
          <w:sz w:val="20"/>
          <w:szCs w:val="20"/>
        </w:rPr>
        <w:t>. Oct 7 2020;20(1):393. doi:10.1186/s12877-020-01801-7</w:t>
      </w:r>
    </w:p>
    <w:p w14:paraId="14D8CF46" w14:textId="77777777" w:rsidR="00270FD2" w:rsidRPr="00270FD2" w:rsidRDefault="00270FD2" w:rsidP="00270FD2">
      <w:pPr>
        <w:pStyle w:val="EndNoteBibliography"/>
        <w:spacing w:after="0"/>
        <w:rPr>
          <w:rFonts w:ascii="Times New Roman" w:hAnsi="Times New Roman" w:cs="Times New Roman"/>
          <w:sz w:val="20"/>
          <w:szCs w:val="20"/>
        </w:rPr>
      </w:pPr>
      <w:r w:rsidRPr="00270FD2">
        <w:rPr>
          <w:rFonts w:ascii="Times New Roman" w:hAnsi="Times New Roman" w:cs="Times New Roman"/>
          <w:sz w:val="20"/>
          <w:szCs w:val="20"/>
        </w:rPr>
        <w:t>6.</w:t>
      </w:r>
      <w:r w:rsidRPr="00270FD2">
        <w:rPr>
          <w:rFonts w:ascii="Times New Roman" w:hAnsi="Times New Roman" w:cs="Times New Roman"/>
          <w:sz w:val="20"/>
          <w:szCs w:val="20"/>
        </w:rPr>
        <w:tab/>
        <w:t xml:space="preserve">Chou YC, Tsou HH, Chan DD, et al. Validation of clinical frailty scale in Chinese translation. </w:t>
      </w:r>
      <w:r w:rsidRPr="00270FD2">
        <w:rPr>
          <w:rFonts w:ascii="Times New Roman" w:hAnsi="Times New Roman" w:cs="Times New Roman"/>
          <w:i/>
          <w:sz w:val="20"/>
          <w:szCs w:val="20"/>
        </w:rPr>
        <w:t>BMC Geriatr</w:t>
      </w:r>
      <w:r w:rsidRPr="00270FD2">
        <w:rPr>
          <w:rFonts w:ascii="Times New Roman" w:hAnsi="Times New Roman" w:cs="Times New Roman"/>
          <w:sz w:val="20"/>
          <w:szCs w:val="20"/>
        </w:rPr>
        <w:t>. Jul 20 2022;22(1):604. doi:10.1186/s12877-022-03287-x</w:t>
      </w:r>
    </w:p>
    <w:p w14:paraId="5C9469AC" w14:textId="77777777" w:rsidR="00270FD2" w:rsidRPr="00270FD2" w:rsidRDefault="00270FD2" w:rsidP="00270FD2">
      <w:pPr>
        <w:pStyle w:val="EndNoteBibliography"/>
        <w:spacing w:after="0"/>
        <w:rPr>
          <w:rFonts w:ascii="Times New Roman" w:hAnsi="Times New Roman" w:cs="Times New Roman"/>
          <w:sz w:val="20"/>
          <w:szCs w:val="20"/>
        </w:rPr>
      </w:pPr>
      <w:r w:rsidRPr="00270FD2">
        <w:rPr>
          <w:rFonts w:ascii="Times New Roman" w:hAnsi="Times New Roman" w:cs="Times New Roman"/>
          <w:sz w:val="20"/>
          <w:szCs w:val="20"/>
        </w:rPr>
        <w:t>7.</w:t>
      </w:r>
      <w:r w:rsidRPr="00270FD2">
        <w:rPr>
          <w:rFonts w:ascii="Times New Roman" w:hAnsi="Times New Roman" w:cs="Times New Roman"/>
          <w:sz w:val="20"/>
          <w:szCs w:val="20"/>
        </w:rPr>
        <w:tab/>
        <w:t xml:space="preserve">Lin CY, Wang JD, Liu LF. Can We Apply WHOQOL-AGE to Asian Population? Verifying Its Factor Structure and Psychometric Properties in a Convenience Sample From Taiwan. </w:t>
      </w:r>
      <w:r w:rsidRPr="00270FD2">
        <w:rPr>
          <w:rFonts w:ascii="Times New Roman" w:hAnsi="Times New Roman" w:cs="Times New Roman"/>
          <w:i/>
          <w:sz w:val="20"/>
          <w:szCs w:val="20"/>
        </w:rPr>
        <w:t>Front Public Health</w:t>
      </w:r>
      <w:r w:rsidRPr="00270FD2">
        <w:rPr>
          <w:rFonts w:ascii="Times New Roman" w:hAnsi="Times New Roman" w:cs="Times New Roman"/>
          <w:sz w:val="20"/>
          <w:szCs w:val="20"/>
        </w:rPr>
        <w:t>. 2020;8:575374. doi:10.3389/fpubh.2020.575374</w:t>
      </w:r>
    </w:p>
    <w:p w14:paraId="44A6E2FF" w14:textId="77777777" w:rsidR="00270FD2" w:rsidRPr="00270FD2" w:rsidRDefault="00270FD2" w:rsidP="00270FD2">
      <w:pPr>
        <w:pStyle w:val="EndNoteBibliography"/>
        <w:rPr>
          <w:rFonts w:ascii="Times New Roman" w:hAnsi="Times New Roman" w:cs="Times New Roman"/>
          <w:sz w:val="20"/>
          <w:szCs w:val="20"/>
        </w:rPr>
      </w:pPr>
      <w:r w:rsidRPr="00270FD2">
        <w:rPr>
          <w:rFonts w:ascii="Times New Roman" w:hAnsi="Times New Roman" w:cs="Times New Roman"/>
          <w:sz w:val="20"/>
          <w:szCs w:val="20"/>
        </w:rPr>
        <w:t>8.</w:t>
      </w:r>
      <w:r w:rsidRPr="00270FD2">
        <w:rPr>
          <w:rFonts w:ascii="Times New Roman" w:hAnsi="Times New Roman" w:cs="Times New Roman"/>
          <w:sz w:val="20"/>
          <w:szCs w:val="20"/>
        </w:rPr>
        <w:tab/>
        <w:t xml:space="preserve">Caballero FF, Miret M, Power M, et al. Validation of an instrument to evaluate quality of life in the aging population: WHOQOL-AGE. </w:t>
      </w:r>
      <w:r w:rsidRPr="00270FD2">
        <w:rPr>
          <w:rFonts w:ascii="Times New Roman" w:hAnsi="Times New Roman" w:cs="Times New Roman"/>
          <w:i/>
          <w:sz w:val="20"/>
          <w:szCs w:val="20"/>
        </w:rPr>
        <w:t>Health Qual Life Outcomes</w:t>
      </w:r>
      <w:r w:rsidRPr="00270FD2">
        <w:rPr>
          <w:rFonts w:ascii="Times New Roman" w:hAnsi="Times New Roman" w:cs="Times New Roman"/>
          <w:sz w:val="20"/>
          <w:szCs w:val="20"/>
        </w:rPr>
        <w:t>. Oct 23 2013;11:177. doi:10.1186/1477-7525-11-177</w:t>
      </w:r>
    </w:p>
    <w:p w14:paraId="515F1F9C" w14:textId="77777777" w:rsidR="00270FD2" w:rsidRPr="00270FD2" w:rsidRDefault="00270FD2" w:rsidP="00270FD2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494C8EBF" w14:textId="77777777" w:rsidR="00270FD2" w:rsidRPr="00270FD2" w:rsidRDefault="00270FD2" w:rsidP="00270FD2">
      <w:pPr>
        <w:rPr>
          <w:rFonts w:ascii="Times New Roman" w:hAnsi="Times New Roman" w:cs="Times New Roman"/>
        </w:rPr>
      </w:pPr>
    </w:p>
    <w:p w14:paraId="4E9B6DCF" w14:textId="77777777" w:rsidR="00D93A27" w:rsidRPr="00270FD2" w:rsidRDefault="00D93A27" w:rsidP="00876CC3">
      <w:pPr>
        <w:rPr>
          <w:rFonts w:ascii="Times New Roman" w:hAnsi="Times New Roman" w:cs="Times New Roman"/>
          <w:b/>
          <w:bCs/>
        </w:rPr>
      </w:pPr>
    </w:p>
    <w:p w14:paraId="4A152CB9" w14:textId="7515C9B4" w:rsidR="00D93A27" w:rsidRPr="00270FD2" w:rsidRDefault="00270FD2" w:rsidP="00876C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FD2">
        <w:rPr>
          <w:rFonts w:ascii="Times New Roman" w:hAnsi="Times New Roman" w:cs="Times New Roman"/>
          <w:b/>
          <w:bCs/>
          <w:sz w:val="28"/>
          <w:szCs w:val="28"/>
        </w:rPr>
        <w:t>2. Supplementary Tables</w:t>
      </w:r>
    </w:p>
    <w:p w14:paraId="29619890" w14:textId="439B7FF0" w:rsidR="00D93A27" w:rsidRPr="00270FD2" w:rsidRDefault="00D93A27" w:rsidP="00876CC3">
      <w:pPr>
        <w:rPr>
          <w:rFonts w:ascii="Times New Roman" w:hAnsi="Times New Roman" w:cs="Times New Roman"/>
        </w:rPr>
      </w:pPr>
      <w:r w:rsidRPr="00270FD2">
        <w:rPr>
          <w:rFonts w:ascii="Times New Roman" w:hAnsi="Times New Roman" w:cs="Times New Roman"/>
          <w:b/>
          <w:bCs/>
        </w:rPr>
        <w:t>Table B1.</w:t>
      </w:r>
      <w:r w:rsidRPr="00270FD2">
        <w:rPr>
          <w:rFonts w:ascii="Times New Roman" w:hAnsi="Times New Roman" w:cs="Times New Roman"/>
        </w:rPr>
        <w:t xml:space="preserve"> Normal Ranges for MDC Parameters.</w:t>
      </w:r>
    </w:p>
    <w:tbl>
      <w:tblPr>
        <w:tblStyle w:val="11"/>
        <w:tblW w:w="8553" w:type="dxa"/>
        <w:tblLook w:val="04A0" w:firstRow="1" w:lastRow="0" w:firstColumn="1" w:lastColumn="0" w:noHBand="0" w:noVBand="1"/>
      </w:tblPr>
      <w:tblGrid>
        <w:gridCol w:w="1980"/>
        <w:gridCol w:w="1606"/>
        <w:gridCol w:w="1606"/>
        <w:gridCol w:w="1607"/>
        <w:gridCol w:w="1754"/>
      </w:tblGrid>
      <w:tr w:rsidR="00D93A27" w:rsidRPr="00270FD2" w14:paraId="6B20D3D9" w14:textId="77777777" w:rsidTr="00A64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026A09C" w14:textId="77777777" w:rsidR="00D93A27" w:rsidRPr="00270FD2" w:rsidRDefault="00D93A27" w:rsidP="00876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14:paraId="04EC416A" w14:textId="77777777" w:rsidR="00D93A27" w:rsidRPr="00270FD2" w:rsidRDefault="00D93A27" w:rsidP="00876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mmol/L</w:t>
            </w:r>
          </w:p>
        </w:tc>
        <w:tc>
          <w:tcPr>
            <w:tcW w:w="1606" w:type="dxa"/>
          </w:tcPr>
          <w:p w14:paraId="76963095" w14:textId="77777777" w:rsidR="00D93A27" w:rsidRPr="00270FD2" w:rsidRDefault="00D93A27" w:rsidP="00876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mEq/L</w:t>
            </w:r>
          </w:p>
        </w:tc>
        <w:tc>
          <w:tcPr>
            <w:tcW w:w="1607" w:type="dxa"/>
          </w:tcPr>
          <w:p w14:paraId="7AD2C35B" w14:textId="77777777" w:rsidR="00D93A27" w:rsidRPr="00270FD2" w:rsidRDefault="00D93A27" w:rsidP="00876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mg/dL</w:t>
            </w:r>
          </w:p>
        </w:tc>
        <w:tc>
          <w:tcPr>
            <w:tcW w:w="1754" w:type="dxa"/>
          </w:tcPr>
          <w:p w14:paraId="029D6463" w14:textId="77777777" w:rsidR="00D93A27" w:rsidRPr="00270FD2" w:rsidRDefault="00D93A27" w:rsidP="00876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g/L</w:t>
            </w:r>
          </w:p>
        </w:tc>
      </w:tr>
      <w:tr w:rsidR="00D93A27" w:rsidRPr="00270FD2" w14:paraId="5CCC8229" w14:textId="77777777" w:rsidTr="00A64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6C1A47" w14:textId="77777777" w:rsidR="00D93A27" w:rsidRPr="00270FD2" w:rsidRDefault="00D93A27" w:rsidP="00CC3207">
            <w:pPr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Potassium (K)</w:t>
            </w:r>
          </w:p>
        </w:tc>
        <w:tc>
          <w:tcPr>
            <w:tcW w:w="1606" w:type="dxa"/>
          </w:tcPr>
          <w:p w14:paraId="7F38FCAA" w14:textId="77777777" w:rsidR="00D93A27" w:rsidRPr="00270FD2" w:rsidRDefault="00D93A27" w:rsidP="00CC32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3.5 ~ 5.0</w:t>
            </w:r>
          </w:p>
        </w:tc>
        <w:tc>
          <w:tcPr>
            <w:tcW w:w="1606" w:type="dxa"/>
          </w:tcPr>
          <w:p w14:paraId="48421505" w14:textId="77777777" w:rsidR="00D93A27" w:rsidRPr="00270FD2" w:rsidRDefault="00D93A27" w:rsidP="00CC32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3.5 ~ 5.0</w:t>
            </w:r>
          </w:p>
        </w:tc>
        <w:tc>
          <w:tcPr>
            <w:tcW w:w="1607" w:type="dxa"/>
          </w:tcPr>
          <w:p w14:paraId="2A2D460C" w14:textId="77777777" w:rsidR="00D93A27" w:rsidRPr="00270FD2" w:rsidRDefault="00D93A27" w:rsidP="00CC32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4" w:type="dxa"/>
          </w:tcPr>
          <w:p w14:paraId="25E4FD0C" w14:textId="77777777" w:rsidR="00D93A27" w:rsidRPr="00270FD2" w:rsidRDefault="00D93A27" w:rsidP="00CC32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-</w:t>
            </w:r>
          </w:p>
        </w:tc>
      </w:tr>
      <w:tr w:rsidR="00D93A27" w:rsidRPr="00270FD2" w14:paraId="518AD95A" w14:textId="77777777" w:rsidTr="00A64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AA3FB4" w14:textId="77777777" w:rsidR="00D93A27" w:rsidRPr="00270FD2" w:rsidRDefault="00D93A27" w:rsidP="00CC3207">
            <w:pPr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Sodium (Na)</w:t>
            </w:r>
          </w:p>
        </w:tc>
        <w:tc>
          <w:tcPr>
            <w:tcW w:w="1606" w:type="dxa"/>
          </w:tcPr>
          <w:p w14:paraId="1A5AA9F2" w14:textId="77777777" w:rsidR="00D93A27" w:rsidRPr="00270FD2" w:rsidRDefault="00D93A27" w:rsidP="00CC3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135 ~ 145</w:t>
            </w:r>
          </w:p>
        </w:tc>
        <w:tc>
          <w:tcPr>
            <w:tcW w:w="1606" w:type="dxa"/>
          </w:tcPr>
          <w:p w14:paraId="23365C51" w14:textId="77777777" w:rsidR="00D93A27" w:rsidRPr="00270FD2" w:rsidRDefault="00D93A27" w:rsidP="00CC3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135 ~ 145</w:t>
            </w:r>
          </w:p>
        </w:tc>
        <w:tc>
          <w:tcPr>
            <w:tcW w:w="1607" w:type="dxa"/>
          </w:tcPr>
          <w:p w14:paraId="77805A20" w14:textId="77777777" w:rsidR="00D93A27" w:rsidRPr="00270FD2" w:rsidRDefault="00D93A27" w:rsidP="00CC3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4" w:type="dxa"/>
          </w:tcPr>
          <w:p w14:paraId="120E8180" w14:textId="77777777" w:rsidR="00D93A27" w:rsidRPr="00270FD2" w:rsidRDefault="00D93A27" w:rsidP="00CC3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-</w:t>
            </w:r>
          </w:p>
        </w:tc>
      </w:tr>
      <w:tr w:rsidR="00D93A27" w:rsidRPr="00270FD2" w14:paraId="09F7E4FA" w14:textId="77777777" w:rsidTr="00A64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6C120F8" w14:textId="77777777" w:rsidR="00D93A27" w:rsidRPr="00270FD2" w:rsidRDefault="00D93A27" w:rsidP="00CC3207">
            <w:pPr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Calcium (Ca)*</w:t>
            </w:r>
          </w:p>
        </w:tc>
        <w:tc>
          <w:tcPr>
            <w:tcW w:w="1606" w:type="dxa"/>
          </w:tcPr>
          <w:p w14:paraId="4A1AAAAD" w14:textId="77777777" w:rsidR="00D93A27" w:rsidRPr="00270FD2" w:rsidRDefault="00D93A27" w:rsidP="00CC32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2.15 ~ 2.50</w:t>
            </w:r>
          </w:p>
        </w:tc>
        <w:tc>
          <w:tcPr>
            <w:tcW w:w="1606" w:type="dxa"/>
          </w:tcPr>
          <w:p w14:paraId="7C128DDA" w14:textId="77777777" w:rsidR="00D93A27" w:rsidRPr="00270FD2" w:rsidRDefault="00D93A27" w:rsidP="00CC32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4.30 ~ 5.00</w:t>
            </w:r>
          </w:p>
        </w:tc>
        <w:tc>
          <w:tcPr>
            <w:tcW w:w="1607" w:type="dxa"/>
          </w:tcPr>
          <w:p w14:paraId="6ED8F0AF" w14:textId="77777777" w:rsidR="00D93A27" w:rsidRPr="00270FD2" w:rsidRDefault="00D93A27" w:rsidP="00CC32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8.6 ~ 10.0</w:t>
            </w:r>
          </w:p>
        </w:tc>
        <w:tc>
          <w:tcPr>
            <w:tcW w:w="1754" w:type="dxa"/>
          </w:tcPr>
          <w:p w14:paraId="13965998" w14:textId="77777777" w:rsidR="00D93A27" w:rsidRPr="00270FD2" w:rsidRDefault="00D93A27" w:rsidP="00CC32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0.086 ~ 0.100</w:t>
            </w:r>
          </w:p>
        </w:tc>
      </w:tr>
      <w:tr w:rsidR="00D93A27" w:rsidRPr="00270FD2" w14:paraId="48461C7E" w14:textId="77777777" w:rsidTr="00A64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180C9C" w14:textId="77777777" w:rsidR="00D93A27" w:rsidRPr="00270FD2" w:rsidRDefault="00D93A27" w:rsidP="00CC3207">
            <w:pPr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Phosphate (P)</w:t>
            </w:r>
          </w:p>
        </w:tc>
        <w:tc>
          <w:tcPr>
            <w:tcW w:w="1606" w:type="dxa"/>
          </w:tcPr>
          <w:p w14:paraId="63A88294" w14:textId="77777777" w:rsidR="00D93A27" w:rsidRPr="00270FD2" w:rsidRDefault="00D93A27" w:rsidP="00CC3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0.81 ~ 1.45</w:t>
            </w:r>
          </w:p>
        </w:tc>
        <w:tc>
          <w:tcPr>
            <w:tcW w:w="1606" w:type="dxa"/>
          </w:tcPr>
          <w:p w14:paraId="52A653A9" w14:textId="77777777" w:rsidR="00D93A27" w:rsidRPr="00270FD2" w:rsidRDefault="00D93A27" w:rsidP="00CC3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14:paraId="51E469D0" w14:textId="77777777" w:rsidR="00D93A27" w:rsidRPr="00270FD2" w:rsidRDefault="00D93A27" w:rsidP="00CC3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2.5 ~ 4.5</w:t>
            </w:r>
          </w:p>
        </w:tc>
        <w:tc>
          <w:tcPr>
            <w:tcW w:w="1754" w:type="dxa"/>
          </w:tcPr>
          <w:p w14:paraId="42BC2E39" w14:textId="77777777" w:rsidR="00D93A27" w:rsidRPr="00270FD2" w:rsidRDefault="00D93A27" w:rsidP="00CC32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0.025 ~ 0.045</w:t>
            </w:r>
          </w:p>
        </w:tc>
      </w:tr>
      <w:tr w:rsidR="00D93A27" w:rsidRPr="00270FD2" w14:paraId="0B14E3F0" w14:textId="77777777" w:rsidTr="00A64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BFFB2B" w14:textId="77777777" w:rsidR="00D93A27" w:rsidRPr="00270FD2" w:rsidRDefault="00D93A27" w:rsidP="0039602B">
            <w:pPr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Albumin (Alb)</w:t>
            </w:r>
          </w:p>
        </w:tc>
        <w:tc>
          <w:tcPr>
            <w:tcW w:w="1606" w:type="dxa"/>
          </w:tcPr>
          <w:p w14:paraId="141381F5" w14:textId="77777777" w:rsidR="00D93A27" w:rsidRPr="00270FD2" w:rsidRDefault="00D93A27" w:rsidP="003960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14:paraId="4B6D459B" w14:textId="77777777" w:rsidR="00D93A27" w:rsidRPr="00270FD2" w:rsidRDefault="00D93A27" w:rsidP="003960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14:paraId="3A142E97" w14:textId="77777777" w:rsidR="00D93A27" w:rsidRPr="00270FD2" w:rsidRDefault="00D93A27" w:rsidP="003960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4" w:type="dxa"/>
          </w:tcPr>
          <w:p w14:paraId="334C242F" w14:textId="77777777" w:rsidR="00D93A27" w:rsidRPr="00270FD2" w:rsidRDefault="00D93A27" w:rsidP="0039602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&gt;3.5</w:t>
            </w:r>
          </w:p>
        </w:tc>
      </w:tr>
      <w:tr w:rsidR="00D93A27" w:rsidRPr="00270FD2" w14:paraId="76002BB8" w14:textId="77777777" w:rsidTr="00A64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B791EE4" w14:textId="77777777" w:rsidR="00D93A27" w:rsidRPr="00270FD2" w:rsidRDefault="00D93A27" w:rsidP="0039602B">
            <w:pPr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Hemoglobin (Hb)</w:t>
            </w:r>
            <w:r w:rsidRPr="00270FD2">
              <w:rPr>
                <w:rFonts w:ascii="Times New Roman" w:hAnsi="Times New Roman" w:cs="Times New Roman"/>
              </w:rPr>
              <w:br/>
            </w:r>
            <w:r w:rsidRPr="00270FD2">
              <w:rPr>
                <w:rFonts w:ascii="Times New Roman" w:hAnsi="Times New Roman" w:cs="Times New Roman"/>
                <w:b w:val="0"/>
                <w:bCs w:val="0"/>
              </w:rPr>
              <w:t>Female / Male</w:t>
            </w:r>
          </w:p>
        </w:tc>
        <w:tc>
          <w:tcPr>
            <w:tcW w:w="1606" w:type="dxa"/>
          </w:tcPr>
          <w:p w14:paraId="30A2ED37" w14:textId="77777777" w:rsidR="00D93A27" w:rsidRPr="00270FD2" w:rsidRDefault="00D93A27" w:rsidP="003960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14:paraId="75732F65" w14:textId="77777777" w:rsidR="00D93A27" w:rsidRPr="00270FD2" w:rsidRDefault="00D93A27" w:rsidP="003960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14:paraId="5EEE1C6B" w14:textId="77777777" w:rsidR="00D93A27" w:rsidRPr="00270FD2" w:rsidRDefault="00D93A27" w:rsidP="003960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4" w:type="dxa"/>
          </w:tcPr>
          <w:p w14:paraId="6FC50FE8" w14:textId="77777777" w:rsidR="00D93A27" w:rsidRPr="00270FD2" w:rsidRDefault="00D93A27" w:rsidP="0039602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0FD2">
              <w:rPr>
                <w:rFonts w:ascii="Times New Roman" w:hAnsi="Times New Roman" w:cs="Times New Roman"/>
              </w:rPr>
              <w:t>&gt;120 / 130</w:t>
            </w:r>
            <w:r w:rsidRPr="00270FD2">
              <w:rPr>
                <w:rFonts w:ascii="Times New Roman" w:hAnsi="Times New Roman" w:cs="Times New Roman"/>
              </w:rPr>
              <w:br/>
              <w:t xml:space="preserve">(&gt;12 / 13 g/dL) </w:t>
            </w:r>
          </w:p>
        </w:tc>
      </w:tr>
    </w:tbl>
    <w:p w14:paraId="7F9A162B" w14:textId="77777777" w:rsidR="00D93A27" w:rsidRPr="00270FD2" w:rsidRDefault="00D93A27" w:rsidP="00876CC3">
      <w:pPr>
        <w:rPr>
          <w:rFonts w:ascii="Times New Roman" w:hAnsi="Times New Roman" w:cs="Times New Roman"/>
        </w:rPr>
      </w:pPr>
      <w:r w:rsidRPr="00270FD2">
        <w:rPr>
          <w:rFonts w:ascii="Times New Roman" w:hAnsi="Times New Roman" w:cs="Times New Roman"/>
        </w:rPr>
        <w:t>* Total serum calcium.</w:t>
      </w:r>
      <w:r w:rsidRPr="00270FD2">
        <w:rPr>
          <w:rFonts w:ascii="Times New Roman" w:hAnsi="Times New Roman" w:cs="Times New Roman"/>
        </w:rPr>
        <w:br/>
        <w:t>Abbreviations of units: dL, deciliter; g, gram; L, liter; mEq, milliequivalent; mg, milligram; mmol, millimole.</w:t>
      </w:r>
    </w:p>
    <w:p w14:paraId="55517837" w14:textId="77777777" w:rsidR="00D93A27" w:rsidRPr="00270FD2" w:rsidRDefault="00D93A27" w:rsidP="00876CC3">
      <w:pPr>
        <w:rPr>
          <w:rFonts w:ascii="Times New Roman" w:hAnsi="Times New Roman" w:cs="Times New Roman"/>
        </w:rPr>
      </w:pPr>
    </w:p>
    <w:p w14:paraId="4A9B6B68" w14:textId="77777777" w:rsidR="00270FD2" w:rsidRPr="00270FD2" w:rsidRDefault="00270FD2">
      <w:pPr>
        <w:widowControl/>
        <w:rPr>
          <w:rFonts w:ascii="Times New Roman" w:hAnsi="Times New Roman" w:cs="Times New Roman"/>
          <w:b/>
          <w:bCs/>
        </w:rPr>
      </w:pPr>
      <w:r w:rsidRPr="00270FD2">
        <w:rPr>
          <w:rFonts w:ascii="Times New Roman" w:hAnsi="Times New Roman" w:cs="Times New Roman"/>
          <w:b/>
          <w:bCs/>
        </w:rPr>
        <w:br w:type="page"/>
      </w:r>
    </w:p>
    <w:p w14:paraId="317DB4EA" w14:textId="2DB66DB4" w:rsidR="00D93A27" w:rsidRPr="00270FD2" w:rsidRDefault="00D93A27" w:rsidP="00876CC3">
      <w:pPr>
        <w:rPr>
          <w:rFonts w:ascii="Times New Roman" w:hAnsi="Times New Roman" w:cs="Times New Roman"/>
          <w:color w:val="FF0000"/>
        </w:rPr>
      </w:pPr>
      <w:r w:rsidRPr="00270FD2">
        <w:rPr>
          <w:rFonts w:ascii="Times New Roman" w:hAnsi="Times New Roman" w:cs="Times New Roman"/>
          <w:b/>
          <w:bCs/>
        </w:rPr>
        <w:lastRenderedPageBreak/>
        <w:t>Table B2.</w:t>
      </w:r>
      <w:r w:rsidRPr="00270FD2">
        <w:rPr>
          <w:rFonts w:ascii="Times New Roman" w:hAnsi="Times New Roman" w:cs="Times New Roman"/>
        </w:rPr>
        <w:t xml:space="preserve"> Fit indices of confirmatory factor analysis</w:t>
      </w:r>
      <w:r w:rsidRPr="00270FD2">
        <w:rPr>
          <w:rFonts w:ascii="Times New Roman" w:hAnsi="Times New Roman" w:cs="Times New Roman"/>
          <w:color w:val="FF0000"/>
        </w:rPr>
        <w:t xml:space="preserve"> </w:t>
      </w:r>
    </w:p>
    <w:tbl>
      <w:tblPr>
        <w:tblStyle w:val="11"/>
        <w:tblW w:w="8642" w:type="dxa"/>
        <w:tblLook w:val="04A0" w:firstRow="1" w:lastRow="0" w:firstColumn="1" w:lastColumn="0" w:noHBand="0" w:noVBand="1"/>
      </w:tblPr>
      <w:tblGrid>
        <w:gridCol w:w="1271"/>
        <w:gridCol w:w="2693"/>
        <w:gridCol w:w="2694"/>
        <w:gridCol w:w="1984"/>
      </w:tblGrid>
      <w:tr w:rsidR="00D93A27" w:rsidRPr="00270FD2" w14:paraId="2DB11625" w14:textId="77777777" w:rsidTr="00270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E92542B" w14:textId="77777777" w:rsidR="00D93A27" w:rsidRPr="00270FD2" w:rsidRDefault="00D93A27" w:rsidP="005D05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Fit indices</w:t>
            </w:r>
          </w:p>
        </w:tc>
        <w:tc>
          <w:tcPr>
            <w:tcW w:w="2693" w:type="dxa"/>
          </w:tcPr>
          <w:p w14:paraId="0EB3C353" w14:textId="77777777" w:rsidR="00D93A27" w:rsidRPr="00270FD2" w:rsidRDefault="00D93A27" w:rsidP="005D0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Model 1</w:t>
            </w:r>
          </w:p>
          <w:p w14:paraId="2159087E" w14:textId="77777777" w:rsidR="00D93A27" w:rsidRPr="00270FD2" w:rsidRDefault="00D93A27" w:rsidP="005D0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(without Mediators)</w:t>
            </w:r>
          </w:p>
        </w:tc>
        <w:tc>
          <w:tcPr>
            <w:tcW w:w="2694" w:type="dxa"/>
          </w:tcPr>
          <w:p w14:paraId="6FA78C3B" w14:textId="77777777" w:rsidR="00D93A27" w:rsidRPr="00270FD2" w:rsidRDefault="00D93A27" w:rsidP="005D0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Model 2</w:t>
            </w:r>
          </w:p>
          <w:p w14:paraId="09BBB80F" w14:textId="77777777" w:rsidR="00D93A27" w:rsidRPr="00270FD2" w:rsidRDefault="00D93A27" w:rsidP="005D0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(with Mediators)</w:t>
            </w:r>
          </w:p>
        </w:tc>
        <w:tc>
          <w:tcPr>
            <w:tcW w:w="1984" w:type="dxa"/>
          </w:tcPr>
          <w:p w14:paraId="0190DE69" w14:textId="77777777" w:rsidR="00D93A27" w:rsidRPr="00270FD2" w:rsidRDefault="00D93A27" w:rsidP="005D0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 xml:space="preserve">Recommendation </w:t>
            </w:r>
            <w:r w:rsidRPr="00270FD2">
              <w:rPr>
                <w:rFonts w:ascii="Times New Roman" w:hAnsi="Times New Roman" w:cs="Times New Roman"/>
                <w:sz w:val="22"/>
                <w:szCs w:val="22"/>
              </w:rPr>
              <w:br/>
              <w:t>for good fit</w:t>
            </w:r>
          </w:p>
        </w:tc>
      </w:tr>
      <w:tr w:rsidR="00D93A27" w:rsidRPr="00270FD2" w14:paraId="3370DDC5" w14:textId="77777777" w:rsidTr="00270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AB6587" w14:textId="77777777" w:rsidR="00D93A27" w:rsidRPr="00270FD2" w:rsidRDefault="00D93A27" w:rsidP="005D05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χ</w:t>
            </w:r>
            <w:r w:rsidRPr="00270FD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 xml:space="preserve"> (df) /</w:t>
            </w:r>
            <w:r w:rsidRPr="00270FD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70FD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-value</w:t>
            </w:r>
          </w:p>
        </w:tc>
        <w:tc>
          <w:tcPr>
            <w:tcW w:w="2693" w:type="dxa"/>
          </w:tcPr>
          <w:p w14:paraId="3362DA73" w14:textId="77777777" w:rsidR="00D93A27" w:rsidRPr="00270FD2" w:rsidRDefault="00D93A27" w:rsidP="005D05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 xml:space="preserve">400.520 (174) / </w:t>
            </w:r>
            <w:r w:rsidRPr="00270FD2">
              <w:rPr>
                <w:rFonts w:ascii="Times New Roman" w:hAnsi="Times New Roman" w:cs="Times New Roman"/>
                <w:sz w:val="22"/>
                <w:szCs w:val="22"/>
              </w:rPr>
              <w:br/>
              <w:t>&lt;0.001</w:t>
            </w:r>
          </w:p>
        </w:tc>
        <w:tc>
          <w:tcPr>
            <w:tcW w:w="2694" w:type="dxa"/>
          </w:tcPr>
          <w:p w14:paraId="72634D4F" w14:textId="77777777" w:rsidR="00D93A27" w:rsidRPr="00270FD2" w:rsidRDefault="00D93A27" w:rsidP="005D05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 xml:space="preserve">1137.912 (514) / </w:t>
            </w:r>
            <w:r w:rsidRPr="00270FD2">
              <w:rPr>
                <w:rFonts w:ascii="Times New Roman" w:hAnsi="Times New Roman" w:cs="Times New Roman"/>
                <w:sz w:val="22"/>
                <w:szCs w:val="22"/>
              </w:rPr>
              <w:br/>
              <w:t>&lt;0.001</w:t>
            </w:r>
          </w:p>
        </w:tc>
        <w:tc>
          <w:tcPr>
            <w:tcW w:w="1984" w:type="dxa"/>
          </w:tcPr>
          <w:p w14:paraId="6699C03D" w14:textId="77777777" w:rsidR="00D93A27" w:rsidRPr="00270FD2" w:rsidRDefault="00D93A27" w:rsidP="005D05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Nonsignificant</w:t>
            </w:r>
          </w:p>
        </w:tc>
      </w:tr>
      <w:tr w:rsidR="00D93A27" w:rsidRPr="00270FD2" w14:paraId="55A2AB69" w14:textId="77777777" w:rsidTr="00270FD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BF8A0D7" w14:textId="77777777" w:rsidR="00D93A27" w:rsidRPr="00270FD2" w:rsidRDefault="00D93A27" w:rsidP="005D05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CFI</w:t>
            </w:r>
          </w:p>
        </w:tc>
        <w:tc>
          <w:tcPr>
            <w:tcW w:w="2693" w:type="dxa"/>
          </w:tcPr>
          <w:p w14:paraId="5C3F1C83" w14:textId="77777777" w:rsidR="00D93A27" w:rsidRPr="00270FD2" w:rsidRDefault="00D93A27" w:rsidP="005D05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0.923</w:t>
            </w:r>
          </w:p>
        </w:tc>
        <w:tc>
          <w:tcPr>
            <w:tcW w:w="2694" w:type="dxa"/>
          </w:tcPr>
          <w:p w14:paraId="7C35C792" w14:textId="77777777" w:rsidR="00D93A27" w:rsidRPr="00270FD2" w:rsidRDefault="00D93A27" w:rsidP="005D05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0.913</w:t>
            </w:r>
          </w:p>
        </w:tc>
        <w:tc>
          <w:tcPr>
            <w:tcW w:w="1984" w:type="dxa"/>
          </w:tcPr>
          <w:p w14:paraId="36362127" w14:textId="77777777" w:rsidR="00D93A27" w:rsidRPr="00270FD2" w:rsidRDefault="00D93A27" w:rsidP="005D05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≥0.90</w:t>
            </w:r>
          </w:p>
        </w:tc>
      </w:tr>
      <w:tr w:rsidR="00D93A27" w:rsidRPr="00270FD2" w14:paraId="7FACE658" w14:textId="77777777" w:rsidTr="00270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C96B79B" w14:textId="77777777" w:rsidR="00D93A27" w:rsidRPr="00270FD2" w:rsidRDefault="00D93A27" w:rsidP="005D05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TLI</w:t>
            </w:r>
          </w:p>
        </w:tc>
        <w:tc>
          <w:tcPr>
            <w:tcW w:w="2693" w:type="dxa"/>
          </w:tcPr>
          <w:p w14:paraId="1D0E94B2" w14:textId="77777777" w:rsidR="00D93A27" w:rsidRPr="00270FD2" w:rsidRDefault="00D93A27" w:rsidP="005D05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0.903</w:t>
            </w:r>
          </w:p>
        </w:tc>
        <w:tc>
          <w:tcPr>
            <w:tcW w:w="2694" w:type="dxa"/>
          </w:tcPr>
          <w:p w14:paraId="536B2CE8" w14:textId="77777777" w:rsidR="00D93A27" w:rsidRPr="00270FD2" w:rsidRDefault="00D93A27" w:rsidP="005D05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0.901</w:t>
            </w:r>
          </w:p>
        </w:tc>
        <w:tc>
          <w:tcPr>
            <w:tcW w:w="1984" w:type="dxa"/>
          </w:tcPr>
          <w:p w14:paraId="51A69B9E" w14:textId="77777777" w:rsidR="00D93A27" w:rsidRPr="00270FD2" w:rsidRDefault="00D93A27" w:rsidP="005D05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≥0.90</w:t>
            </w:r>
          </w:p>
        </w:tc>
      </w:tr>
      <w:tr w:rsidR="00D93A27" w:rsidRPr="00270FD2" w14:paraId="69579890" w14:textId="77777777" w:rsidTr="00270FD2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70DB807" w14:textId="77777777" w:rsidR="00D93A27" w:rsidRPr="00270FD2" w:rsidRDefault="00D93A27" w:rsidP="005D05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 xml:space="preserve">RMSEA </w:t>
            </w:r>
            <w:r w:rsidRPr="00270FD2">
              <w:rPr>
                <w:rFonts w:ascii="Times New Roman" w:hAnsi="Times New Roman" w:cs="Times New Roman"/>
                <w:sz w:val="22"/>
                <w:szCs w:val="22"/>
              </w:rPr>
              <w:br/>
              <w:t>(90% CI)</w:t>
            </w:r>
          </w:p>
        </w:tc>
        <w:tc>
          <w:tcPr>
            <w:tcW w:w="2693" w:type="dxa"/>
          </w:tcPr>
          <w:p w14:paraId="5459BA56" w14:textId="77777777" w:rsidR="00D93A27" w:rsidRPr="00270FD2" w:rsidRDefault="00D93A27" w:rsidP="005D05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 xml:space="preserve">0.063 </w:t>
            </w:r>
            <w:r w:rsidRPr="00270FD2">
              <w:rPr>
                <w:rFonts w:ascii="Times New Roman" w:hAnsi="Times New Roman" w:cs="Times New Roman"/>
                <w:sz w:val="22"/>
                <w:szCs w:val="22"/>
              </w:rPr>
              <w:br/>
              <w:t>(0.055 – 0.071)</w:t>
            </w:r>
          </w:p>
        </w:tc>
        <w:tc>
          <w:tcPr>
            <w:tcW w:w="2694" w:type="dxa"/>
          </w:tcPr>
          <w:p w14:paraId="114E4E43" w14:textId="77777777" w:rsidR="00D93A27" w:rsidRPr="00270FD2" w:rsidRDefault="00D93A27" w:rsidP="005D05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 xml:space="preserve">0.061 </w:t>
            </w:r>
            <w:r w:rsidRPr="00270FD2">
              <w:rPr>
                <w:rFonts w:ascii="Times New Roman" w:hAnsi="Times New Roman" w:cs="Times New Roman"/>
                <w:sz w:val="22"/>
                <w:szCs w:val="22"/>
              </w:rPr>
              <w:br/>
              <w:t>(0.056 – 0.066)</w:t>
            </w:r>
          </w:p>
        </w:tc>
        <w:tc>
          <w:tcPr>
            <w:tcW w:w="1984" w:type="dxa"/>
          </w:tcPr>
          <w:p w14:paraId="041D0BBA" w14:textId="77777777" w:rsidR="00D93A27" w:rsidRPr="00270FD2" w:rsidRDefault="00D93A27" w:rsidP="005D05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≤0.07</w:t>
            </w:r>
          </w:p>
        </w:tc>
      </w:tr>
      <w:tr w:rsidR="00D93A27" w:rsidRPr="00270FD2" w14:paraId="1D97B6FA" w14:textId="77777777" w:rsidTr="00270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084BCC7" w14:textId="77777777" w:rsidR="00D93A27" w:rsidRPr="00270FD2" w:rsidRDefault="00D93A27" w:rsidP="005D05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SRMR</w:t>
            </w:r>
          </w:p>
        </w:tc>
        <w:tc>
          <w:tcPr>
            <w:tcW w:w="2693" w:type="dxa"/>
          </w:tcPr>
          <w:p w14:paraId="5F4B10C8" w14:textId="77777777" w:rsidR="00D93A27" w:rsidRPr="00270FD2" w:rsidRDefault="00D93A27" w:rsidP="005D05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0.076</w:t>
            </w:r>
          </w:p>
        </w:tc>
        <w:tc>
          <w:tcPr>
            <w:tcW w:w="2694" w:type="dxa"/>
          </w:tcPr>
          <w:p w14:paraId="5DCFB779" w14:textId="77777777" w:rsidR="00D93A27" w:rsidRPr="00270FD2" w:rsidRDefault="00D93A27" w:rsidP="005D05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0.066</w:t>
            </w:r>
          </w:p>
        </w:tc>
        <w:tc>
          <w:tcPr>
            <w:tcW w:w="1984" w:type="dxa"/>
          </w:tcPr>
          <w:p w14:paraId="04BE8F9A" w14:textId="77777777" w:rsidR="00D93A27" w:rsidRPr="00270FD2" w:rsidRDefault="00D93A27" w:rsidP="005D05E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≤0.08</w:t>
            </w:r>
          </w:p>
        </w:tc>
      </w:tr>
    </w:tbl>
    <w:p w14:paraId="605358DB" w14:textId="77777777" w:rsidR="00D93A27" w:rsidRPr="00270FD2" w:rsidRDefault="00D93A27" w:rsidP="00876CC3">
      <w:pPr>
        <w:rPr>
          <w:rFonts w:ascii="Times New Roman" w:hAnsi="Times New Roman" w:cs="Times New Roman"/>
        </w:rPr>
      </w:pPr>
      <w:r w:rsidRPr="00270FD2">
        <w:rPr>
          <w:rFonts w:ascii="Times New Roman" w:hAnsi="Times New Roman" w:cs="Times New Roman"/>
        </w:rPr>
        <w:t>CI, confidence interval; CFI, comparative fit index; RMSEA, root mean square error of approximation; SRMR, standardized root mean squared residual; TLI, Tucker-Lewis index</w:t>
      </w:r>
    </w:p>
    <w:p w14:paraId="7884A0B2" w14:textId="77777777" w:rsidR="00D93A27" w:rsidRPr="00270FD2" w:rsidRDefault="00D93A27" w:rsidP="00876CC3">
      <w:pPr>
        <w:rPr>
          <w:rFonts w:ascii="Times New Roman" w:hAnsi="Times New Roman" w:cs="Times New Roman"/>
        </w:rPr>
      </w:pPr>
    </w:p>
    <w:p w14:paraId="1315D663" w14:textId="4597A854" w:rsidR="00D93A27" w:rsidRPr="00270FD2" w:rsidRDefault="00D93A27" w:rsidP="00876CC3">
      <w:pPr>
        <w:rPr>
          <w:rFonts w:ascii="Times New Roman" w:hAnsi="Times New Roman" w:cs="Times New Roman"/>
          <w:sz w:val="32"/>
          <w:szCs w:val="32"/>
        </w:rPr>
      </w:pPr>
      <w:r w:rsidRPr="00270FD2">
        <w:rPr>
          <w:rFonts w:ascii="Times New Roman" w:eastAsia="Times New Roman" w:hAnsi="Times New Roman" w:cs="Times New Roman"/>
          <w:b/>
          <w:bCs/>
          <w:color w:val="000000"/>
          <w14:ligatures w14:val="none"/>
        </w:rPr>
        <w:t xml:space="preserve">Table </w:t>
      </w:r>
      <w:r w:rsidRPr="00270FD2">
        <w:rPr>
          <w:rFonts w:ascii="Times New Roman" w:hAnsi="Times New Roman" w:cs="Times New Roman"/>
          <w:b/>
          <w:bCs/>
          <w:color w:val="000000"/>
          <w14:ligatures w14:val="none"/>
        </w:rPr>
        <w:t>B</w:t>
      </w:r>
      <w:r w:rsidRPr="00270FD2">
        <w:rPr>
          <w:rFonts w:ascii="Times New Roman" w:eastAsia="Times New Roman" w:hAnsi="Times New Roman" w:cs="Times New Roman"/>
          <w:b/>
          <w:bCs/>
          <w:color w:val="000000"/>
          <w14:ligatures w14:val="none"/>
        </w:rPr>
        <w:t>3.</w:t>
      </w:r>
      <w:r w:rsidRPr="00270FD2">
        <w:rPr>
          <w:rFonts w:ascii="Times New Roman" w:eastAsia="Times New Roman" w:hAnsi="Times New Roman" w:cs="Times New Roman"/>
          <w:color w:val="000000"/>
          <w14:ligatures w14:val="none"/>
        </w:rPr>
        <w:t xml:space="preserve"> Factor Loadings of MDC Quality</w:t>
      </w:r>
    </w:p>
    <w:tbl>
      <w:tblPr>
        <w:tblStyle w:val="11"/>
        <w:tblW w:w="8642" w:type="dxa"/>
        <w:tblLayout w:type="fixed"/>
        <w:tblLook w:val="04A0" w:firstRow="1" w:lastRow="0" w:firstColumn="1" w:lastColumn="0" w:noHBand="0" w:noVBand="1"/>
      </w:tblPr>
      <w:tblGrid>
        <w:gridCol w:w="1129"/>
        <w:gridCol w:w="1100"/>
        <w:gridCol w:w="1457"/>
        <w:gridCol w:w="1129"/>
        <w:gridCol w:w="1134"/>
        <w:gridCol w:w="1559"/>
        <w:gridCol w:w="1134"/>
      </w:tblGrid>
      <w:tr w:rsidR="00D93A27" w:rsidRPr="00270FD2" w14:paraId="36D650FE" w14:textId="77777777" w:rsidTr="00270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</w:tcPr>
          <w:p w14:paraId="47CE420C" w14:textId="77777777" w:rsidR="00D93A27" w:rsidRPr="00270FD2" w:rsidRDefault="00D93A27" w:rsidP="00270F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</w:p>
        </w:tc>
        <w:tc>
          <w:tcPr>
            <w:tcW w:w="3686" w:type="dxa"/>
            <w:gridSpan w:val="3"/>
            <w:noWrap/>
            <w:vAlign w:val="center"/>
          </w:tcPr>
          <w:p w14:paraId="4EC89509" w14:textId="77777777" w:rsidR="00D93A27" w:rsidRPr="00270FD2" w:rsidRDefault="00D93A27" w:rsidP="00270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Model 1</w:t>
            </w:r>
          </w:p>
          <w:p w14:paraId="000A4979" w14:textId="77777777" w:rsidR="00D93A27" w:rsidRPr="00270FD2" w:rsidRDefault="00D93A27" w:rsidP="00270FD2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(without Mediators)</w:t>
            </w:r>
          </w:p>
        </w:tc>
        <w:tc>
          <w:tcPr>
            <w:tcW w:w="3827" w:type="dxa"/>
            <w:gridSpan w:val="3"/>
            <w:vAlign w:val="center"/>
          </w:tcPr>
          <w:p w14:paraId="25B15A36" w14:textId="77777777" w:rsidR="00D93A27" w:rsidRPr="00270FD2" w:rsidRDefault="00D93A27" w:rsidP="00270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Model 2</w:t>
            </w:r>
          </w:p>
          <w:p w14:paraId="1FDE8663" w14:textId="77777777" w:rsidR="00D93A27" w:rsidRPr="00270FD2" w:rsidRDefault="00D93A27" w:rsidP="00270FD2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sz w:val="22"/>
                <w:szCs w:val="22"/>
              </w:rPr>
              <w:t>(with Mediators)</w:t>
            </w:r>
          </w:p>
        </w:tc>
      </w:tr>
      <w:tr w:rsidR="00270FD2" w:rsidRPr="00270FD2" w14:paraId="4CD2BABD" w14:textId="77777777" w:rsidTr="00270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14:paraId="56EDEF9F" w14:textId="77777777" w:rsidR="00D93A27" w:rsidRPr="00270FD2" w:rsidRDefault="00D93A27" w:rsidP="00270FD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</w:p>
        </w:tc>
        <w:tc>
          <w:tcPr>
            <w:tcW w:w="1100" w:type="dxa"/>
            <w:noWrap/>
            <w:vAlign w:val="center"/>
            <w:hideMark/>
          </w:tcPr>
          <w:p w14:paraId="010E8E51" w14:textId="77777777" w:rsidR="00D93A27" w:rsidRPr="00270FD2" w:rsidRDefault="00D93A27" w:rsidP="00270FD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Estimate</w:t>
            </w:r>
          </w:p>
        </w:tc>
        <w:tc>
          <w:tcPr>
            <w:tcW w:w="1457" w:type="dxa"/>
            <w:noWrap/>
            <w:vAlign w:val="center"/>
            <w:hideMark/>
          </w:tcPr>
          <w:p w14:paraId="26766DF4" w14:textId="77777777" w:rsidR="00D93A27" w:rsidRPr="00270FD2" w:rsidRDefault="00D93A27" w:rsidP="00270FD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Standardized</w:t>
            </w:r>
          </w:p>
        </w:tc>
        <w:tc>
          <w:tcPr>
            <w:tcW w:w="1129" w:type="dxa"/>
            <w:noWrap/>
            <w:vAlign w:val="center"/>
            <w:hideMark/>
          </w:tcPr>
          <w:p w14:paraId="2864E9C8" w14:textId="77777777" w:rsidR="00D93A27" w:rsidRPr="00270FD2" w:rsidRDefault="00D93A27" w:rsidP="00270FD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p value</w:t>
            </w:r>
          </w:p>
        </w:tc>
        <w:tc>
          <w:tcPr>
            <w:tcW w:w="1134" w:type="dxa"/>
            <w:vAlign w:val="center"/>
          </w:tcPr>
          <w:p w14:paraId="42696F37" w14:textId="77777777" w:rsidR="00D93A27" w:rsidRPr="00270FD2" w:rsidRDefault="00D93A27" w:rsidP="00270FD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Estimate</w:t>
            </w:r>
          </w:p>
        </w:tc>
        <w:tc>
          <w:tcPr>
            <w:tcW w:w="1559" w:type="dxa"/>
            <w:vAlign w:val="center"/>
          </w:tcPr>
          <w:p w14:paraId="61DC7319" w14:textId="77777777" w:rsidR="00D93A27" w:rsidRPr="00270FD2" w:rsidRDefault="00D93A27" w:rsidP="00270FD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Standardized</w:t>
            </w:r>
          </w:p>
        </w:tc>
        <w:tc>
          <w:tcPr>
            <w:tcW w:w="1134" w:type="dxa"/>
            <w:vAlign w:val="center"/>
          </w:tcPr>
          <w:p w14:paraId="61386DA2" w14:textId="77777777" w:rsidR="00D93A27" w:rsidRPr="00270FD2" w:rsidRDefault="00D93A27" w:rsidP="00270FD2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p value</w:t>
            </w:r>
          </w:p>
        </w:tc>
      </w:tr>
      <w:tr w:rsidR="00270FD2" w:rsidRPr="00270FD2" w14:paraId="6128C61D" w14:textId="77777777" w:rsidTr="0046446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14:paraId="4B52CB29" w14:textId="785D7B75" w:rsidR="00270FD2" w:rsidRPr="00937AD3" w:rsidRDefault="00270FD2" w:rsidP="00270FD2">
            <w:pPr>
              <w:widowControl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14:ligatures w14:val="none"/>
              </w:rPr>
            </w:pPr>
            <w:r w:rsidRPr="00937AD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14:ligatures w14:val="none"/>
              </w:rPr>
              <w:t>Albumin</w:t>
            </w:r>
          </w:p>
        </w:tc>
        <w:tc>
          <w:tcPr>
            <w:tcW w:w="1100" w:type="dxa"/>
            <w:noWrap/>
            <w:vAlign w:val="bottom"/>
          </w:tcPr>
          <w:p w14:paraId="4248D051" w14:textId="1585BB9F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1457" w:type="dxa"/>
            <w:noWrap/>
            <w:vAlign w:val="bottom"/>
          </w:tcPr>
          <w:p w14:paraId="7E6C86E4" w14:textId="46FD600E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color w:val="000000"/>
              </w:rPr>
              <w:t>0.418</w:t>
            </w:r>
          </w:p>
        </w:tc>
        <w:tc>
          <w:tcPr>
            <w:tcW w:w="1129" w:type="dxa"/>
            <w:noWrap/>
            <w:vAlign w:val="center"/>
          </w:tcPr>
          <w:p w14:paraId="247FE65F" w14:textId="0ADB0F5A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bottom"/>
          </w:tcPr>
          <w:p w14:paraId="59B582A2" w14:textId="6FC6C5CE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1559" w:type="dxa"/>
            <w:vAlign w:val="bottom"/>
          </w:tcPr>
          <w:p w14:paraId="23615C91" w14:textId="76DFAC50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color w:val="000000"/>
              </w:rPr>
              <w:t>0.435</w:t>
            </w:r>
          </w:p>
        </w:tc>
        <w:tc>
          <w:tcPr>
            <w:tcW w:w="1134" w:type="dxa"/>
            <w:vAlign w:val="center"/>
          </w:tcPr>
          <w:p w14:paraId="6928E6BD" w14:textId="735EA284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70FD2" w:rsidRPr="00270FD2" w14:paraId="7CC33196" w14:textId="77777777" w:rsidTr="00464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</w:tcPr>
          <w:p w14:paraId="74451E20" w14:textId="475C0FCF" w:rsidR="00270FD2" w:rsidRPr="00937AD3" w:rsidRDefault="00270FD2" w:rsidP="00270FD2">
            <w:pPr>
              <w:widowControl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14:ligatures w14:val="none"/>
              </w:rPr>
            </w:pPr>
            <w:r w:rsidRPr="00937AD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14:ligatures w14:val="none"/>
              </w:rPr>
              <w:t>Hb</w:t>
            </w:r>
          </w:p>
        </w:tc>
        <w:tc>
          <w:tcPr>
            <w:tcW w:w="1100" w:type="dxa"/>
            <w:noWrap/>
            <w:vAlign w:val="bottom"/>
          </w:tcPr>
          <w:p w14:paraId="1AA1986E" w14:textId="467B8E97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2.468</w:t>
            </w:r>
          </w:p>
        </w:tc>
        <w:tc>
          <w:tcPr>
            <w:tcW w:w="1457" w:type="dxa"/>
            <w:noWrap/>
            <w:vAlign w:val="bottom"/>
          </w:tcPr>
          <w:p w14:paraId="44616F87" w14:textId="015AD6FA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0.433</w:t>
            </w:r>
          </w:p>
        </w:tc>
        <w:tc>
          <w:tcPr>
            <w:tcW w:w="1129" w:type="dxa"/>
            <w:noWrap/>
            <w:vAlign w:val="center"/>
          </w:tcPr>
          <w:p w14:paraId="69007764" w14:textId="10E8A846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1134" w:type="dxa"/>
            <w:vAlign w:val="bottom"/>
          </w:tcPr>
          <w:p w14:paraId="51F12001" w14:textId="219BCC6C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2.143</w:t>
            </w:r>
          </w:p>
        </w:tc>
        <w:tc>
          <w:tcPr>
            <w:tcW w:w="1559" w:type="dxa"/>
            <w:vAlign w:val="bottom"/>
          </w:tcPr>
          <w:p w14:paraId="2A6596B0" w14:textId="5E2C5ABD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0.391</w:t>
            </w:r>
          </w:p>
        </w:tc>
        <w:tc>
          <w:tcPr>
            <w:tcW w:w="1134" w:type="dxa"/>
            <w:vAlign w:val="center"/>
          </w:tcPr>
          <w:p w14:paraId="1652ACFD" w14:textId="6FEF2BF9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</w:tr>
      <w:tr w:rsidR="00270FD2" w:rsidRPr="00270FD2" w14:paraId="7C71AEA1" w14:textId="77777777" w:rsidTr="0046446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</w:tcPr>
          <w:p w14:paraId="675232DD" w14:textId="20712D4F" w:rsidR="00270FD2" w:rsidRPr="00937AD3" w:rsidRDefault="00270FD2" w:rsidP="00270FD2">
            <w:pPr>
              <w:widowControl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14:ligatures w14:val="none"/>
              </w:rPr>
            </w:pPr>
            <w:r w:rsidRPr="00937AD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14:ligatures w14:val="none"/>
              </w:rPr>
              <w:t>Na</w:t>
            </w:r>
          </w:p>
        </w:tc>
        <w:tc>
          <w:tcPr>
            <w:tcW w:w="1100" w:type="dxa"/>
            <w:noWrap/>
            <w:vAlign w:val="bottom"/>
          </w:tcPr>
          <w:p w14:paraId="57762D5D" w14:textId="0D1A09CE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0.421</w:t>
            </w:r>
          </w:p>
        </w:tc>
        <w:tc>
          <w:tcPr>
            <w:tcW w:w="1457" w:type="dxa"/>
            <w:noWrap/>
            <w:vAlign w:val="bottom"/>
          </w:tcPr>
          <w:p w14:paraId="6BB723E5" w14:textId="14F5D8CA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0.149</w:t>
            </w:r>
          </w:p>
        </w:tc>
        <w:tc>
          <w:tcPr>
            <w:tcW w:w="1129" w:type="dxa"/>
            <w:noWrap/>
            <w:vAlign w:val="bottom"/>
          </w:tcPr>
          <w:p w14:paraId="6BE90399" w14:textId="5DA67EDA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0.003</w:t>
            </w:r>
          </w:p>
        </w:tc>
        <w:tc>
          <w:tcPr>
            <w:tcW w:w="1134" w:type="dxa"/>
            <w:vAlign w:val="bottom"/>
          </w:tcPr>
          <w:p w14:paraId="653BE4B7" w14:textId="7CCF8F6B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0.205</w:t>
            </w:r>
          </w:p>
        </w:tc>
        <w:tc>
          <w:tcPr>
            <w:tcW w:w="1559" w:type="dxa"/>
            <w:vAlign w:val="bottom"/>
          </w:tcPr>
          <w:p w14:paraId="45C21C1E" w14:textId="2DA4F772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0.075</w:t>
            </w:r>
          </w:p>
        </w:tc>
        <w:tc>
          <w:tcPr>
            <w:tcW w:w="1134" w:type="dxa"/>
            <w:vAlign w:val="bottom"/>
          </w:tcPr>
          <w:p w14:paraId="42BD8A5B" w14:textId="4D9C9074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0.020</w:t>
            </w:r>
          </w:p>
        </w:tc>
      </w:tr>
      <w:tr w:rsidR="00270FD2" w:rsidRPr="00270FD2" w14:paraId="344A438F" w14:textId="77777777" w:rsidTr="00464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</w:tcPr>
          <w:p w14:paraId="30455412" w14:textId="30E4002C" w:rsidR="00270FD2" w:rsidRPr="00937AD3" w:rsidRDefault="00270FD2" w:rsidP="00270FD2">
            <w:pPr>
              <w:widowControl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14:ligatures w14:val="none"/>
              </w:rPr>
            </w:pPr>
            <w:r w:rsidRPr="00937AD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14:ligatures w14:val="none"/>
              </w:rPr>
              <w:t>K</w:t>
            </w:r>
          </w:p>
        </w:tc>
        <w:tc>
          <w:tcPr>
            <w:tcW w:w="1100" w:type="dxa"/>
            <w:noWrap/>
            <w:vAlign w:val="bottom"/>
          </w:tcPr>
          <w:p w14:paraId="6EB6FA7F" w14:textId="3AF6DA3C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color w:val="000000"/>
              </w:rPr>
              <w:t>0.276</w:t>
            </w:r>
          </w:p>
        </w:tc>
        <w:tc>
          <w:tcPr>
            <w:tcW w:w="1457" w:type="dxa"/>
            <w:noWrap/>
            <w:vAlign w:val="bottom"/>
          </w:tcPr>
          <w:p w14:paraId="7CB4D0AB" w14:textId="368A780E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color w:val="000000"/>
              </w:rPr>
              <w:t>0.073</w:t>
            </w:r>
          </w:p>
        </w:tc>
        <w:tc>
          <w:tcPr>
            <w:tcW w:w="1129" w:type="dxa"/>
            <w:noWrap/>
            <w:vAlign w:val="bottom"/>
          </w:tcPr>
          <w:p w14:paraId="3FB63E1C" w14:textId="33AC6C11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color w:val="000000"/>
              </w:rPr>
              <w:t>0.103</w:t>
            </w:r>
          </w:p>
        </w:tc>
        <w:tc>
          <w:tcPr>
            <w:tcW w:w="1134" w:type="dxa"/>
            <w:vAlign w:val="bottom"/>
          </w:tcPr>
          <w:p w14:paraId="4D799A1A" w14:textId="6777D600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color w:val="000000"/>
              </w:rPr>
              <w:t>-0.041</w:t>
            </w:r>
          </w:p>
        </w:tc>
        <w:tc>
          <w:tcPr>
            <w:tcW w:w="1559" w:type="dxa"/>
            <w:vAlign w:val="bottom"/>
          </w:tcPr>
          <w:p w14:paraId="4D19C0CB" w14:textId="3B7B52BB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color w:val="000000"/>
              </w:rPr>
              <w:t>-0.011</w:t>
            </w:r>
          </w:p>
        </w:tc>
        <w:tc>
          <w:tcPr>
            <w:tcW w:w="1134" w:type="dxa"/>
            <w:vAlign w:val="bottom"/>
          </w:tcPr>
          <w:p w14:paraId="7006146B" w14:textId="74224923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color w:val="000000"/>
              </w:rPr>
              <w:t>0.711</w:t>
            </w:r>
          </w:p>
        </w:tc>
      </w:tr>
      <w:tr w:rsidR="00270FD2" w:rsidRPr="00270FD2" w14:paraId="0452450E" w14:textId="77777777" w:rsidTr="00464469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</w:tcPr>
          <w:p w14:paraId="200E9400" w14:textId="4DA2AC32" w:rsidR="00270FD2" w:rsidRPr="00937AD3" w:rsidRDefault="00270FD2" w:rsidP="00270FD2">
            <w:pPr>
              <w:widowControl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14:ligatures w14:val="none"/>
              </w:rPr>
            </w:pPr>
            <w:r w:rsidRPr="00937AD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14:ligatures w14:val="none"/>
              </w:rPr>
              <w:t>Ca</w:t>
            </w:r>
          </w:p>
        </w:tc>
        <w:tc>
          <w:tcPr>
            <w:tcW w:w="1100" w:type="dxa"/>
            <w:noWrap/>
            <w:vAlign w:val="bottom"/>
          </w:tcPr>
          <w:p w14:paraId="6A508FAD" w14:textId="2B1F04B1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1.105</w:t>
            </w:r>
          </w:p>
        </w:tc>
        <w:tc>
          <w:tcPr>
            <w:tcW w:w="1457" w:type="dxa"/>
            <w:noWrap/>
            <w:vAlign w:val="bottom"/>
          </w:tcPr>
          <w:p w14:paraId="2FA4CB39" w14:textId="792C78AD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0.265</w:t>
            </w:r>
          </w:p>
        </w:tc>
        <w:tc>
          <w:tcPr>
            <w:tcW w:w="1129" w:type="dxa"/>
            <w:noWrap/>
            <w:vAlign w:val="center"/>
          </w:tcPr>
          <w:p w14:paraId="60150858" w14:textId="0864A478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1134" w:type="dxa"/>
            <w:vAlign w:val="bottom"/>
          </w:tcPr>
          <w:p w14:paraId="21EE127B" w14:textId="1BD4E01F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0.966</w:t>
            </w:r>
          </w:p>
        </w:tc>
        <w:tc>
          <w:tcPr>
            <w:tcW w:w="1559" w:type="dxa"/>
            <w:vAlign w:val="bottom"/>
          </w:tcPr>
          <w:p w14:paraId="4547AB7C" w14:textId="28041115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0.241</w:t>
            </w:r>
          </w:p>
        </w:tc>
        <w:tc>
          <w:tcPr>
            <w:tcW w:w="1134" w:type="dxa"/>
            <w:vAlign w:val="center"/>
          </w:tcPr>
          <w:p w14:paraId="698A93BA" w14:textId="6878C0EE" w:rsidR="00270FD2" w:rsidRPr="00270FD2" w:rsidRDefault="00270FD2" w:rsidP="00270FD2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</w:tr>
      <w:tr w:rsidR="00270FD2" w:rsidRPr="00270FD2" w14:paraId="672C1B33" w14:textId="77777777" w:rsidTr="00464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</w:tcPr>
          <w:p w14:paraId="6F650723" w14:textId="74B4CB62" w:rsidR="00270FD2" w:rsidRPr="00937AD3" w:rsidRDefault="00270FD2" w:rsidP="00270FD2">
            <w:pPr>
              <w:widowControl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14:ligatures w14:val="none"/>
              </w:rPr>
            </w:pPr>
            <w:r w:rsidRPr="00937AD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1100" w:type="dxa"/>
            <w:noWrap/>
            <w:vAlign w:val="bottom"/>
          </w:tcPr>
          <w:p w14:paraId="11CFCC3E" w14:textId="6003CC6C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1.785</w:t>
            </w:r>
          </w:p>
        </w:tc>
        <w:tc>
          <w:tcPr>
            <w:tcW w:w="1457" w:type="dxa"/>
            <w:noWrap/>
            <w:vAlign w:val="bottom"/>
          </w:tcPr>
          <w:p w14:paraId="6BDB2A2E" w14:textId="3A1E8739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0.366</w:t>
            </w:r>
          </w:p>
        </w:tc>
        <w:tc>
          <w:tcPr>
            <w:tcW w:w="1129" w:type="dxa"/>
            <w:noWrap/>
            <w:vAlign w:val="center"/>
          </w:tcPr>
          <w:p w14:paraId="51EE27BD" w14:textId="1806501C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  <w:tc>
          <w:tcPr>
            <w:tcW w:w="1134" w:type="dxa"/>
            <w:vAlign w:val="bottom"/>
          </w:tcPr>
          <w:p w14:paraId="38774F68" w14:textId="7B8E5D19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0.794</w:t>
            </w:r>
          </w:p>
        </w:tc>
        <w:tc>
          <w:tcPr>
            <w:tcW w:w="1559" w:type="dxa"/>
            <w:vAlign w:val="bottom"/>
          </w:tcPr>
          <w:p w14:paraId="542E2923" w14:textId="1F9684D7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</w:rPr>
              <w:t>0.169</w:t>
            </w:r>
          </w:p>
        </w:tc>
        <w:tc>
          <w:tcPr>
            <w:tcW w:w="1134" w:type="dxa"/>
            <w:vAlign w:val="center"/>
          </w:tcPr>
          <w:p w14:paraId="09ED1430" w14:textId="6C72F037" w:rsidR="00270FD2" w:rsidRPr="00270FD2" w:rsidRDefault="00270FD2" w:rsidP="00270FD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70F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</w:tr>
    </w:tbl>
    <w:p w14:paraId="632FCE93" w14:textId="77777777" w:rsidR="00D93A27" w:rsidRPr="00270FD2" w:rsidRDefault="00D93A27" w:rsidP="00F30837">
      <w:pPr>
        <w:rPr>
          <w:rFonts w:ascii="Times New Roman" w:hAnsi="Times New Roman" w:cs="Times New Roman"/>
        </w:rPr>
      </w:pPr>
    </w:p>
    <w:p w14:paraId="3C14C8DA" w14:textId="0E0DE1AF" w:rsidR="00D93A27" w:rsidRPr="00270FD2" w:rsidRDefault="00D93A27" w:rsidP="00EB516D">
      <w:pPr>
        <w:rPr>
          <w:rFonts w:ascii="Times New Roman" w:hAnsi="Times New Roman" w:cs="Times New Roman"/>
          <w:sz w:val="32"/>
          <w:szCs w:val="32"/>
        </w:rPr>
      </w:pPr>
      <w:r w:rsidRPr="00270FD2">
        <w:rPr>
          <w:rFonts w:ascii="Times New Roman" w:eastAsia="Times New Roman" w:hAnsi="Times New Roman" w:cs="Times New Roman"/>
          <w:b/>
          <w:bCs/>
          <w:color w:val="000000"/>
          <w14:ligatures w14:val="none"/>
        </w:rPr>
        <w:t xml:space="preserve">Table </w:t>
      </w:r>
      <w:r w:rsidRPr="00270FD2">
        <w:rPr>
          <w:rFonts w:ascii="Times New Roman" w:hAnsi="Times New Roman" w:cs="Times New Roman"/>
          <w:b/>
          <w:bCs/>
          <w:color w:val="000000"/>
          <w14:ligatures w14:val="none"/>
        </w:rPr>
        <w:t>B</w:t>
      </w:r>
      <w:r w:rsidRPr="00270FD2">
        <w:rPr>
          <w:rFonts w:ascii="Times New Roman" w:eastAsia="Times New Roman" w:hAnsi="Times New Roman" w:cs="Times New Roman"/>
          <w:b/>
          <w:bCs/>
          <w:color w:val="000000"/>
          <w14:ligatures w14:val="none"/>
        </w:rPr>
        <w:t>4.</w:t>
      </w:r>
      <w:r w:rsidRPr="00270FD2">
        <w:rPr>
          <w:rFonts w:ascii="Times New Roman" w:eastAsia="Times New Roman" w:hAnsi="Times New Roman" w:cs="Times New Roman"/>
          <w:color w:val="000000"/>
          <w14:ligatures w14:val="none"/>
        </w:rPr>
        <w:t xml:space="preserve"> Effect of MDC Program Enrollment Duration on QOL by Dummy Variable Regression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75"/>
        <w:gridCol w:w="2007"/>
        <w:gridCol w:w="2007"/>
        <w:gridCol w:w="2007"/>
      </w:tblGrid>
      <w:tr w:rsidR="00D93A27" w:rsidRPr="00270FD2" w14:paraId="73216C49" w14:textId="77777777" w:rsidTr="00A75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046A18CF" w14:textId="77777777" w:rsidR="00D93A27" w:rsidRPr="00270FD2" w:rsidRDefault="00D93A27" w:rsidP="00A75FF9">
            <w:pPr>
              <w:widowControl/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</w:p>
        </w:tc>
        <w:tc>
          <w:tcPr>
            <w:tcW w:w="2007" w:type="dxa"/>
          </w:tcPr>
          <w:p w14:paraId="754666DB" w14:textId="77777777" w:rsidR="00D93A27" w:rsidRPr="00270FD2" w:rsidRDefault="00D93A27" w:rsidP="00A75FF9">
            <w:pPr>
              <w:widowControl/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Unstandardized coefficient</w:t>
            </w:r>
          </w:p>
        </w:tc>
        <w:tc>
          <w:tcPr>
            <w:tcW w:w="2007" w:type="dxa"/>
          </w:tcPr>
          <w:p w14:paraId="28E4DF77" w14:textId="77777777" w:rsidR="00D93A27" w:rsidRPr="00270FD2" w:rsidRDefault="00D93A27" w:rsidP="00A75FF9">
            <w:pPr>
              <w:widowControl/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Standardized coefficient</w:t>
            </w:r>
          </w:p>
        </w:tc>
        <w:tc>
          <w:tcPr>
            <w:tcW w:w="2007" w:type="dxa"/>
          </w:tcPr>
          <w:p w14:paraId="6F5D8E1A" w14:textId="77777777" w:rsidR="00D93A27" w:rsidRPr="00270FD2" w:rsidRDefault="00D93A27" w:rsidP="00A75FF9">
            <w:pPr>
              <w:widowControl/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p value</w:t>
            </w:r>
          </w:p>
        </w:tc>
      </w:tr>
      <w:tr w:rsidR="00D93A27" w:rsidRPr="00270FD2" w14:paraId="51A7C0CE" w14:textId="77777777" w:rsidTr="00A7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64441BA3" w14:textId="77777777" w:rsidR="00D93A27" w:rsidRPr="00270FD2" w:rsidRDefault="00D93A27" w:rsidP="00A75FF9">
            <w:pPr>
              <w:widowControl/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Dura_1</w:t>
            </w:r>
          </w:p>
        </w:tc>
        <w:tc>
          <w:tcPr>
            <w:tcW w:w="2007" w:type="dxa"/>
          </w:tcPr>
          <w:p w14:paraId="23E52471" w14:textId="77777777" w:rsidR="00D93A27" w:rsidRPr="00270FD2" w:rsidRDefault="00D93A27" w:rsidP="00A75FF9">
            <w:pPr>
              <w:widowControl/>
              <w:spacing w:line="27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1.521</w:t>
            </w:r>
          </w:p>
        </w:tc>
        <w:tc>
          <w:tcPr>
            <w:tcW w:w="2007" w:type="dxa"/>
          </w:tcPr>
          <w:p w14:paraId="28B3CFEE" w14:textId="77777777" w:rsidR="00D93A27" w:rsidRPr="00270FD2" w:rsidRDefault="00D93A27" w:rsidP="00A75FF9">
            <w:pPr>
              <w:widowControl/>
              <w:spacing w:line="27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0.054</w:t>
            </w:r>
          </w:p>
        </w:tc>
        <w:tc>
          <w:tcPr>
            <w:tcW w:w="2007" w:type="dxa"/>
          </w:tcPr>
          <w:p w14:paraId="153C9EE0" w14:textId="77777777" w:rsidR="00D93A27" w:rsidRPr="00270FD2" w:rsidRDefault="00D93A27" w:rsidP="00A75FF9">
            <w:pPr>
              <w:widowControl/>
              <w:spacing w:line="27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0.393</w:t>
            </w:r>
          </w:p>
        </w:tc>
      </w:tr>
      <w:tr w:rsidR="00D93A27" w:rsidRPr="00270FD2" w14:paraId="6E43CC69" w14:textId="77777777" w:rsidTr="00A75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2B9C78FA" w14:textId="77777777" w:rsidR="00D93A27" w:rsidRPr="00270FD2" w:rsidRDefault="00D93A27" w:rsidP="00A75FF9">
            <w:pPr>
              <w:widowControl/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Dura_2</w:t>
            </w:r>
          </w:p>
        </w:tc>
        <w:tc>
          <w:tcPr>
            <w:tcW w:w="2007" w:type="dxa"/>
          </w:tcPr>
          <w:p w14:paraId="2CD9D601" w14:textId="77777777" w:rsidR="00D93A27" w:rsidRPr="00270FD2" w:rsidRDefault="00D93A27" w:rsidP="00A75FF9">
            <w:pPr>
              <w:widowControl/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1.568</w:t>
            </w:r>
          </w:p>
        </w:tc>
        <w:tc>
          <w:tcPr>
            <w:tcW w:w="2007" w:type="dxa"/>
          </w:tcPr>
          <w:p w14:paraId="3BF3AD45" w14:textId="77777777" w:rsidR="00D93A27" w:rsidRPr="00270FD2" w:rsidRDefault="00D93A27" w:rsidP="00A75FF9">
            <w:pPr>
              <w:widowControl/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0.113</w:t>
            </w:r>
          </w:p>
        </w:tc>
        <w:tc>
          <w:tcPr>
            <w:tcW w:w="2007" w:type="dxa"/>
          </w:tcPr>
          <w:p w14:paraId="0E4AFFCB" w14:textId="77777777" w:rsidR="00D93A27" w:rsidRPr="00270FD2" w:rsidRDefault="00D93A27" w:rsidP="00A75FF9">
            <w:pPr>
              <w:widowControl/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0.215</w:t>
            </w:r>
          </w:p>
        </w:tc>
      </w:tr>
      <w:tr w:rsidR="00D93A27" w:rsidRPr="00270FD2" w14:paraId="2D62CB88" w14:textId="77777777" w:rsidTr="00A7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</w:tcPr>
          <w:p w14:paraId="3A05C4CB" w14:textId="77777777" w:rsidR="00D93A27" w:rsidRPr="00270FD2" w:rsidRDefault="00D93A27" w:rsidP="00A75FF9">
            <w:pPr>
              <w:widowControl/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14:ligatures w14:val="none"/>
              </w:rPr>
              <w:t>Dura_3</w:t>
            </w:r>
          </w:p>
        </w:tc>
        <w:tc>
          <w:tcPr>
            <w:tcW w:w="2007" w:type="dxa"/>
          </w:tcPr>
          <w:p w14:paraId="0A5B61E9" w14:textId="77777777" w:rsidR="00D93A27" w:rsidRPr="00270FD2" w:rsidRDefault="00D93A27" w:rsidP="00A75FF9">
            <w:pPr>
              <w:widowControl/>
              <w:spacing w:line="27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  <w:t>2.203</w:t>
            </w:r>
          </w:p>
        </w:tc>
        <w:tc>
          <w:tcPr>
            <w:tcW w:w="2007" w:type="dxa"/>
          </w:tcPr>
          <w:p w14:paraId="6EC7EA07" w14:textId="77777777" w:rsidR="00D93A27" w:rsidRPr="00270FD2" w:rsidRDefault="00D93A27" w:rsidP="00A75FF9">
            <w:pPr>
              <w:widowControl/>
              <w:spacing w:line="27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  <w:t>0.192</w:t>
            </w:r>
          </w:p>
        </w:tc>
        <w:tc>
          <w:tcPr>
            <w:tcW w:w="2007" w:type="dxa"/>
          </w:tcPr>
          <w:p w14:paraId="066A0C34" w14:textId="77777777" w:rsidR="00D93A27" w:rsidRPr="00270FD2" w:rsidRDefault="00D93A27" w:rsidP="00A75FF9">
            <w:pPr>
              <w:widowControl/>
              <w:spacing w:line="27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270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  <w:t>0.046</w:t>
            </w:r>
          </w:p>
        </w:tc>
      </w:tr>
    </w:tbl>
    <w:p w14:paraId="4226F36D" w14:textId="503D3BA0" w:rsidR="00D93A27" w:rsidRPr="00270FD2" w:rsidRDefault="00D93A27" w:rsidP="00F30837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270FD2">
        <w:rPr>
          <w:rFonts w:ascii="Times New Roman" w:hAnsi="Times New Roman" w:cs="Times New Roman"/>
        </w:rPr>
        <w:t>Dependent variable: QOL; Reference category: duration &lt;6 months</w:t>
      </w:r>
      <w:r w:rsidR="00270FD2" w:rsidRPr="00270FD2">
        <w:rPr>
          <w:rFonts w:ascii="Times New Roman" w:hAnsi="Times New Roman" w:cs="Times New Roman"/>
        </w:rPr>
        <w:t>;</w:t>
      </w:r>
    </w:p>
    <w:p w14:paraId="1E3DD488" w14:textId="756574C2" w:rsidR="00D93A27" w:rsidRDefault="00D93A27" w:rsidP="00F30837">
      <w:pPr>
        <w:snapToGrid w:val="0"/>
        <w:spacing w:after="0" w:line="240" w:lineRule="auto"/>
        <w:rPr>
          <w:rFonts w:ascii="Times New Roman" w:hAnsi="Times New Roman" w:cs="Times New Roman"/>
          <w:color w:val="000000"/>
          <w14:ligatures w14:val="none"/>
        </w:rPr>
      </w:pPr>
      <w:r w:rsidRPr="00270FD2">
        <w:rPr>
          <w:rFonts w:ascii="Times New Roman" w:hAnsi="Times New Roman" w:cs="Times New Roman"/>
        </w:rPr>
        <w:t>Dura_1: 6 m</w:t>
      </w:r>
      <w:r w:rsidR="00270FD2" w:rsidRPr="00270FD2">
        <w:rPr>
          <w:rFonts w:ascii="Times New Roman" w:hAnsi="Times New Roman" w:cs="Times New Roman"/>
        </w:rPr>
        <w:t>on</w:t>
      </w:r>
      <w:r w:rsidRPr="00270FD2">
        <w:rPr>
          <w:rFonts w:ascii="Times New Roman" w:hAnsi="Times New Roman" w:cs="Times New Roman"/>
        </w:rPr>
        <w:t xml:space="preserve">ths ≤ </w:t>
      </w:r>
      <w:r w:rsidRPr="00270FD2">
        <w:rPr>
          <w:rFonts w:ascii="Times New Roman" w:hAnsi="Times New Roman" w:cs="Times New Roman"/>
          <w:color w:val="000000"/>
          <w14:ligatures w14:val="none"/>
        </w:rPr>
        <w:t>d</w:t>
      </w:r>
      <w:r w:rsidRPr="00270FD2">
        <w:rPr>
          <w:rFonts w:ascii="Times New Roman" w:eastAsia="Times New Roman" w:hAnsi="Times New Roman" w:cs="Times New Roman"/>
          <w:color w:val="000000"/>
          <w14:ligatures w14:val="none"/>
        </w:rPr>
        <w:t xml:space="preserve">uration </w:t>
      </w:r>
      <w:r w:rsidRPr="00270FD2">
        <w:rPr>
          <w:rFonts w:ascii="Times New Roman" w:hAnsi="Times New Roman" w:cs="Times New Roman"/>
          <w:color w:val="000000"/>
          <w14:ligatures w14:val="none"/>
        </w:rPr>
        <w:t>&lt; 1 y</w:t>
      </w:r>
      <w:r w:rsidR="00270FD2" w:rsidRPr="00270FD2">
        <w:rPr>
          <w:rFonts w:ascii="Times New Roman" w:hAnsi="Times New Roman" w:cs="Times New Roman"/>
          <w:color w:val="000000"/>
          <w14:ligatures w14:val="none"/>
        </w:rPr>
        <w:t>ea</w:t>
      </w:r>
      <w:r w:rsidRPr="00270FD2">
        <w:rPr>
          <w:rFonts w:ascii="Times New Roman" w:hAnsi="Times New Roman" w:cs="Times New Roman"/>
          <w:color w:val="000000"/>
          <w14:ligatures w14:val="none"/>
        </w:rPr>
        <w:t>r;</w:t>
      </w:r>
      <w:r w:rsidRPr="00270FD2">
        <w:rPr>
          <w:rFonts w:ascii="Times New Roman" w:hAnsi="Times New Roman" w:cs="Times New Roman"/>
        </w:rPr>
        <w:t xml:space="preserve"> Dura_2: 1 y</w:t>
      </w:r>
      <w:r w:rsidR="00270FD2" w:rsidRPr="00270FD2">
        <w:rPr>
          <w:rFonts w:ascii="Times New Roman" w:hAnsi="Times New Roman" w:cs="Times New Roman"/>
        </w:rPr>
        <w:t>ea</w:t>
      </w:r>
      <w:r w:rsidRPr="00270FD2">
        <w:rPr>
          <w:rFonts w:ascii="Times New Roman" w:hAnsi="Times New Roman" w:cs="Times New Roman"/>
        </w:rPr>
        <w:t xml:space="preserve">r ≤ </w:t>
      </w:r>
      <w:r w:rsidRPr="00270FD2">
        <w:rPr>
          <w:rFonts w:ascii="Times New Roman" w:hAnsi="Times New Roman" w:cs="Times New Roman"/>
          <w:color w:val="000000"/>
          <w14:ligatures w14:val="none"/>
        </w:rPr>
        <w:t>d</w:t>
      </w:r>
      <w:r w:rsidRPr="00270FD2">
        <w:rPr>
          <w:rFonts w:ascii="Times New Roman" w:eastAsia="Times New Roman" w:hAnsi="Times New Roman" w:cs="Times New Roman"/>
          <w:color w:val="000000"/>
          <w14:ligatures w14:val="none"/>
        </w:rPr>
        <w:t xml:space="preserve">uration </w:t>
      </w:r>
      <w:r w:rsidRPr="00270FD2">
        <w:rPr>
          <w:rFonts w:ascii="Times New Roman" w:hAnsi="Times New Roman" w:cs="Times New Roman"/>
          <w:color w:val="000000"/>
          <w14:ligatures w14:val="none"/>
        </w:rPr>
        <w:t>&lt; 2 y</w:t>
      </w:r>
      <w:r w:rsidR="00270FD2" w:rsidRPr="00270FD2">
        <w:rPr>
          <w:rFonts w:ascii="Times New Roman" w:hAnsi="Times New Roman" w:cs="Times New Roman"/>
          <w:color w:val="000000"/>
          <w14:ligatures w14:val="none"/>
        </w:rPr>
        <w:t>ea</w:t>
      </w:r>
      <w:r w:rsidRPr="00270FD2">
        <w:rPr>
          <w:rFonts w:ascii="Times New Roman" w:hAnsi="Times New Roman" w:cs="Times New Roman"/>
          <w:color w:val="000000"/>
          <w14:ligatures w14:val="none"/>
        </w:rPr>
        <w:t>rs;</w:t>
      </w:r>
      <w:r w:rsidR="00270FD2" w:rsidRPr="00270FD2">
        <w:rPr>
          <w:rFonts w:ascii="Times New Roman" w:hAnsi="Times New Roman" w:cs="Times New Roman"/>
          <w:color w:val="000000"/>
          <w14:ligatures w14:val="none"/>
        </w:rPr>
        <w:br/>
      </w:r>
      <w:r w:rsidRPr="00270FD2">
        <w:rPr>
          <w:rFonts w:ascii="Times New Roman" w:hAnsi="Times New Roman" w:cs="Times New Roman"/>
        </w:rPr>
        <w:t xml:space="preserve">Dura_3: </w:t>
      </w:r>
      <w:r w:rsidRPr="00270FD2">
        <w:rPr>
          <w:rFonts w:ascii="Times New Roman" w:hAnsi="Times New Roman" w:cs="Times New Roman"/>
          <w:color w:val="000000"/>
          <w14:ligatures w14:val="none"/>
        </w:rPr>
        <w:t>d</w:t>
      </w:r>
      <w:r w:rsidRPr="00270FD2">
        <w:rPr>
          <w:rFonts w:ascii="Times New Roman" w:eastAsia="Times New Roman" w:hAnsi="Times New Roman" w:cs="Times New Roman"/>
          <w:color w:val="000000"/>
          <w14:ligatures w14:val="none"/>
        </w:rPr>
        <w:t xml:space="preserve">uration </w:t>
      </w:r>
      <w:r w:rsidRPr="00270FD2">
        <w:rPr>
          <w:rFonts w:ascii="Times New Roman" w:hAnsi="Times New Roman" w:cs="Times New Roman"/>
          <w:color w:val="000000"/>
          <w14:ligatures w14:val="none"/>
        </w:rPr>
        <w:t>&gt;2 y</w:t>
      </w:r>
      <w:r w:rsidR="00270FD2" w:rsidRPr="00270FD2">
        <w:rPr>
          <w:rFonts w:ascii="Times New Roman" w:hAnsi="Times New Roman" w:cs="Times New Roman"/>
          <w:color w:val="000000"/>
          <w14:ligatures w14:val="none"/>
        </w:rPr>
        <w:t>ea</w:t>
      </w:r>
      <w:r w:rsidRPr="00270FD2">
        <w:rPr>
          <w:rFonts w:ascii="Times New Roman" w:hAnsi="Times New Roman" w:cs="Times New Roman"/>
          <w:color w:val="000000"/>
          <w14:ligatures w14:val="none"/>
        </w:rPr>
        <w:t>rs</w:t>
      </w:r>
    </w:p>
    <w:p w14:paraId="0CCAC3EA" w14:textId="44399BA7" w:rsidR="00437BFB" w:rsidRPr="00437BFB" w:rsidRDefault="00437BFB" w:rsidP="00437BFB">
      <w:pPr>
        <w:adjustRightInd w:val="0"/>
        <w:snapToGrid w:val="0"/>
        <w:spacing w:after="0" w:line="480" w:lineRule="auto"/>
        <w:rPr>
          <w:rFonts w:ascii="Times New Roman" w:hAnsi="Times New Roman" w:cs="Times New Roman"/>
          <w:b/>
          <w:bCs/>
          <w:color w:val="000000"/>
          <w14:ligatures w14:val="none"/>
        </w:rPr>
      </w:pPr>
      <w:r w:rsidRPr="00437BFB">
        <w:rPr>
          <w:rFonts w:ascii="Times New Roman" w:hAnsi="Times New Roman" w:cs="Times New Roman"/>
          <w:b/>
          <w:bCs/>
          <w:color w:val="000000"/>
          <w14:ligatures w14:val="none"/>
        </w:rPr>
        <w:lastRenderedPageBreak/>
        <w:drawing>
          <wp:inline distT="0" distB="0" distL="0" distR="0" wp14:anchorId="1EA3CBB6" wp14:editId="0BF70EAE">
            <wp:extent cx="5486400" cy="2742565"/>
            <wp:effectExtent l="0" t="0" r="0" b="635"/>
            <wp:docPr id="1963521615" name="圖片 2" descr="一張含有 文字, 圖表, 字型, 圓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521615" name="圖片 2" descr="一張含有 文字, 圖表, 字型, 圓形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20D4" w14:textId="77777777" w:rsidR="00437BFB" w:rsidRDefault="00437BFB" w:rsidP="00B02C47">
      <w:pPr>
        <w:adjustRightInd w:val="0"/>
        <w:snapToGrid w:val="0"/>
        <w:spacing w:after="0" w:line="480" w:lineRule="auto"/>
        <w:rPr>
          <w:rFonts w:ascii="Times New Roman" w:hAnsi="Times New Roman" w:cs="Times New Roman"/>
          <w:b/>
          <w:bCs/>
          <w:color w:val="000000"/>
          <w14:ligatures w14:val="none"/>
        </w:rPr>
      </w:pPr>
    </w:p>
    <w:p w14:paraId="008D3268" w14:textId="2AC96A12" w:rsidR="00B02C47" w:rsidRPr="00270FD2" w:rsidRDefault="00B02C47" w:rsidP="00437BFB">
      <w:pPr>
        <w:adjustRightInd w:val="0"/>
        <w:snapToGrid w:val="0"/>
        <w:spacing w:after="0" w:line="480" w:lineRule="auto"/>
        <w:rPr>
          <w:rFonts w:ascii="Times New Roman" w:hAnsi="Times New Roman" w:cs="Times New Roman"/>
        </w:rPr>
      </w:pPr>
      <w:r w:rsidRPr="00B02C47">
        <w:rPr>
          <w:rFonts w:ascii="Times New Roman" w:hAnsi="Times New Roman" w:cs="Times New Roman"/>
          <w:b/>
          <w:bCs/>
          <w:color w:val="000000"/>
          <w14:ligatures w14:val="none"/>
        </w:rPr>
        <w:t>3. Supplementary Figure S1:</w:t>
      </w:r>
      <w:r>
        <w:rPr>
          <w:rFonts w:ascii="Times New Roman" w:hAnsi="Times New Roman" w:cs="Times New Roman"/>
          <w:color w:val="000000"/>
          <w14:ligatures w14:val="none"/>
        </w:rPr>
        <w:t xml:space="preserve"> </w:t>
      </w:r>
      <w:r w:rsidRPr="008E5D43">
        <w:rPr>
          <w:rFonts w:ascii="Times New Roman" w:eastAsia="新細明體" w:hAnsi="Times New Roman" w:cs="Times New Roman"/>
          <w:b/>
          <w:bCs/>
        </w:rPr>
        <w:t xml:space="preserve">Structural Equation Model for </w:t>
      </w:r>
      <w:r>
        <w:rPr>
          <w:rFonts w:ascii="Times New Roman" w:eastAsia="新細明體" w:hAnsi="Times New Roman" w:cs="Times New Roman"/>
          <w:b/>
          <w:bCs/>
        </w:rPr>
        <w:t>Behavior Markers</w:t>
      </w:r>
      <w:r w:rsidRPr="008E5D43">
        <w:rPr>
          <w:rFonts w:ascii="Times New Roman" w:eastAsia="新細明體" w:hAnsi="Times New Roman" w:cs="Times New Roman"/>
          <w:b/>
          <w:bCs/>
        </w:rPr>
        <w:t>, IC Domains, IADL, and QOL</w:t>
      </w:r>
      <w:r>
        <w:rPr>
          <w:rFonts w:ascii="Times New Roman" w:eastAsia="新細明體" w:hAnsi="Times New Roman" w:cs="Times New Roman"/>
          <w:b/>
          <w:bCs/>
        </w:rPr>
        <w:t xml:space="preserve">: </w:t>
      </w:r>
      <w:r w:rsidRPr="0020489A">
        <w:rPr>
          <w:rFonts w:ascii="Times New Roman" w:eastAsia="新細明體" w:hAnsi="Times New Roman" w:cs="Times New Roman"/>
          <w:color w:val="C00000"/>
        </w:rPr>
        <w:t xml:space="preserve">Rectangular text boxes represent measured variables; elliptical text boxes represent latent variables. Solid arrow indicates a significant effect; dashed arrow indicates a non-significant effect. </w:t>
      </w:r>
      <w:r w:rsidRPr="0020489A">
        <w:rPr>
          <w:rFonts w:ascii="Times New Roman" w:eastAsia="新細明體" w:hAnsi="Times New Roman" w:cs="Times New Roman" w:hint="eastAsia"/>
          <w:color w:val="C00000"/>
        </w:rPr>
        <w:t>Numbers shown on the arrows are standardized coefficients.</w:t>
      </w:r>
      <w:r w:rsidRPr="0020489A">
        <w:rPr>
          <w:rFonts w:ascii="Times New Roman" w:eastAsia="新細明體" w:hAnsi="Times New Roman" w:cs="Times New Roman"/>
          <w:color w:val="C00000"/>
        </w:rPr>
        <w:t xml:space="preserve"> Age, sex, education, alcohol consumption, smoking, HTN, DM, cancer, and CKD stage were </w:t>
      </w:r>
      <w:r w:rsidRPr="0020489A">
        <w:rPr>
          <w:rFonts w:ascii="Times New Roman" w:eastAsia="新細明體" w:hAnsi="Times New Roman" w:cs="Times New Roman" w:hint="eastAsia"/>
          <w:color w:val="C00000"/>
        </w:rPr>
        <w:t>adjusted in this SEM.</w:t>
      </w:r>
      <w:r w:rsidRPr="0020489A">
        <w:rPr>
          <w:rFonts w:ascii="Times New Roman" w:eastAsia="新細明體" w:hAnsi="Times New Roman" w:cs="Times New Roman"/>
          <w:color w:val="C00000"/>
        </w:rPr>
        <w:t xml:space="preserve"> # factor loading constraint</w:t>
      </w:r>
      <w:r w:rsidRPr="0020489A">
        <w:rPr>
          <w:color w:val="C00000"/>
        </w:rPr>
        <w:t xml:space="preserve"> </w:t>
      </w:r>
      <w:r w:rsidRPr="0020489A">
        <w:rPr>
          <w:rFonts w:ascii="Times New Roman" w:eastAsia="新細明體" w:hAnsi="Times New Roman" w:cs="Times New Roman"/>
          <w:color w:val="C00000"/>
        </w:rPr>
        <w:t>(fixed to define the scale of the latent variable)</w:t>
      </w:r>
      <w:r w:rsidRPr="0020489A">
        <w:rPr>
          <w:rFonts w:ascii="Times New Roman" w:eastAsia="新細明體" w:hAnsi="Times New Roman" w:cs="Times New Roman" w:hint="eastAsia"/>
          <w:color w:val="C00000"/>
        </w:rPr>
        <w:t xml:space="preserve">, </w:t>
      </w:r>
      <w:r w:rsidRPr="008E5D43">
        <w:rPr>
          <w:rFonts w:ascii="Times New Roman" w:eastAsia="新細明體" w:hAnsi="Times New Roman" w:cs="Times New Roman"/>
        </w:rPr>
        <w:t>* p &lt;0.05, ** p&lt;0.01, *** p &lt;0.00</w:t>
      </w:r>
      <w:r>
        <w:rPr>
          <w:rFonts w:ascii="Times New Roman" w:eastAsia="新細明體" w:hAnsi="Times New Roman" w:cs="Times New Roman" w:hint="eastAsia"/>
        </w:rPr>
        <w:t>1</w:t>
      </w:r>
      <w:r>
        <w:rPr>
          <w:rFonts w:ascii="Times New Roman" w:eastAsia="新細明體" w:hAnsi="Times New Roman" w:cs="Times New Roman"/>
        </w:rPr>
        <w:t>.</w:t>
      </w:r>
      <w:r w:rsidRPr="008E5D43">
        <w:rPr>
          <w:rFonts w:ascii="Times New Roman" w:eastAsia="新細明體" w:hAnsi="Times New Roman" w:cs="Times New Roman"/>
        </w:rPr>
        <w:t xml:space="preserve"> Abbreviations: </w:t>
      </w:r>
      <w:r>
        <w:rPr>
          <w:rFonts w:ascii="Times New Roman" w:eastAsia="新細明體" w:hAnsi="Times New Roman" w:cs="Times New Roman"/>
        </w:rPr>
        <w:t xml:space="preserve">ARMS, </w:t>
      </w:r>
      <w:r w:rsidRPr="00B02C47">
        <w:rPr>
          <w:rFonts w:ascii="Times New Roman" w:eastAsia="新細明體" w:hAnsi="Times New Roman" w:cs="Times New Roman"/>
        </w:rPr>
        <w:t>Adherence to Refills and Medications Scale</w:t>
      </w:r>
      <w:r>
        <w:rPr>
          <w:rFonts w:ascii="Times New Roman" w:eastAsia="新細明體" w:hAnsi="Times New Roman" w:cs="Times New Roman"/>
        </w:rPr>
        <w:t xml:space="preserve">; </w:t>
      </w:r>
      <w:r w:rsidRPr="008E5D43">
        <w:rPr>
          <w:rFonts w:ascii="Times New Roman" w:eastAsia="新細明體" w:hAnsi="Times New Roman" w:cs="Times New Roman"/>
        </w:rPr>
        <w:t xml:space="preserve">CFI, comparative fit index; CI, confidence interval; df, degrees of freedom; </w:t>
      </w:r>
      <w:r>
        <w:rPr>
          <w:rFonts w:ascii="Times New Roman" w:eastAsia="新細明體" w:hAnsi="Times New Roman" w:cs="Times New Roman"/>
        </w:rPr>
        <w:t xml:space="preserve">Dura, enrollment duration to MDC program, Ex_1, frequency of any exercise; Ex_2, frequency of moderate intensity exercise; </w:t>
      </w:r>
      <w:r w:rsidRPr="008E5D43">
        <w:rPr>
          <w:rFonts w:ascii="Times New Roman" w:eastAsia="新細明體" w:hAnsi="Times New Roman" w:cs="Times New Roman"/>
        </w:rPr>
        <w:t xml:space="preserve">IADL, instrumental activities of daily living; </w:t>
      </w:r>
      <w:r>
        <w:rPr>
          <w:rFonts w:ascii="Times New Roman" w:eastAsia="新細明體" w:hAnsi="Times New Roman" w:cs="Times New Roman"/>
        </w:rPr>
        <w:t xml:space="preserve">effective </w:t>
      </w:r>
      <w:r w:rsidRPr="008E5D43">
        <w:rPr>
          <w:rFonts w:ascii="Times New Roman" w:eastAsia="新細明體" w:hAnsi="Times New Roman" w:cs="Times New Roman"/>
        </w:rPr>
        <w:t xml:space="preserve">MDC, </w:t>
      </w:r>
      <w:r>
        <w:rPr>
          <w:rFonts w:ascii="Times New Roman" w:eastAsia="新細明體" w:hAnsi="Times New Roman" w:cs="Times New Roman"/>
        </w:rPr>
        <w:t xml:space="preserve">effective </w:t>
      </w:r>
      <w:r w:rsidRPr="008E5D43">
        <w:rPr>
          <w:rFonts w:ascii="Times New Roman" w:eastAsia="新細明體" w:hAnsi="Times New Roman" w:cs="Times New Roman"/>
        </w:rPr>
        <w:t>multidisciplinary care</w:t>
      </w:r>
      <w:r>
        <w:rPr>
          <w:rFonts w:ascii="Times New Roman" w:eastAsia="新細明體" w:hAnsi="Times New Roman" w:cs="Times New Roman"/>
        </w:rPr>
        <w:t xml:space="preserve"> by laboratory data-derived parameters</w:t>
      </w:r>
      <w:r w:rsidRPr="008E5D43">
        <w:rPr>
          <w:rFonts w:ascii="Times New Roman" w:eastAsia="新細明體" w:hAnsi="Times New Roman" w:cs="Times New Roman"/>
        </w:rPr>
        <w:t>; QOL, quality of life; RMSEA, root mean square error of approximation; SRMR, standardized root mean squared residual; TLI, Tucker-Lewis index.</w:t>
      </w:r>
    </w:p>
    <w:sectPr w:rsidR="00B02C47" w:rsidRPr="00270FD2" w:rsidSect="00D93A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2D9F" w14:textId="77777777" w:rsidR="00D47693" w:rsidRDefault="00D47693" w:rsidP="00B02C47">
      <w:pPr>
        <w:spacing w:after="0" w:line="240" w:lineRule="auto"/>
      </w:pPr>
      <w:r>
        <w:separator/>
      </w:r>
    </w:p>
  </w:endnote>
  <w:endnote w:type="continuationSeparator" w:id="0">
    <w:p w14:paraId="0EBA1499" w14:textId="77777777" w:rsidR="00D47693" w:rsidRDefault="00D47693" w:rsidP="00B0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C230" w14:textId="77777777" w:rsidR="00D47693" w:rsidRDefault="00D47693" w:rsidP="00B02C47">
      <w:pPr>
        <w:spacing w:after="0" w:line="240" w:lineRule="auto"/>
      </w:pPr>
      <w:r>
        <w:separator/>
      </w:r>
    </w:p>
  </w:footnote>
  <w:footnote w:type="continuationSeparator" w:id="0">
    <w:p w14:paraId="775DDB27" w14:textId="77777777" w:rsidR="00D47693" w:rsidRDefault="00D47693" w:rsidP="00B02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064BF"/>
    <w:multiLevelType w:val="hybridMultilevel"/>
    <w:tmpl w:val="AB6E2546"/>
    <w:lvl w:ilvl="0" w:tplc="47526B80">
      <w:start w:val="2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1169B"/>
    <w:multiLevelType w:val="hybridMultilevel"/>
    <w:tmpl w:val="B17A38BE"/>
    <w:lvl w:ilvl="0" w:tplc="1D4C42DE">
      <w:start w:val="12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22D88"/>
    <w:multiLevelType w:val="hybridMultilevel"/>
    <w:tmpl w:val="305487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63226"/>
    <w:multiLevelType w:val="hybridMultilevel"/>
    <w:tmpl w:val="EB9C4FD0"/>
    <w:lvl w:ilvl="0" w:tplc="15E087CA">
      <w:start w:val="3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212766">
    <w:abstractNumId w:val="2"/>
  </w:num>
  <w:num w:numId="2" w16cid:durableId="1969358071">
    <w:abstractNumId w:val="0"/>
  </w:num>
  <w:num w:numId="3" w16cid:durableId="597643299">
    <w:abstractNumId w:val="1"/>
  </w:num>
  <w:num w:numId="4" w16cid:durableId="1630623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93A27"/>
    <w:rsid w:val="00133F7C"/>
    <w:rsid w:val="00152D29"/>
    <w:rsid w:val="00270FD2"/>
    <w:rsid w:val="00437BFB"/>
    <w:rsid w:val="00937AD3"/>
    <w:rsid w:val="00B02C47"/>
    <w:rsid w:val="00C02E95"/>
    <w:rsid w:val="00D47693"/>
    <w:rsid w:val="00D531BD"/>
    <w:rsid w:val="00D9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03B95"/>
  <w15:chartTrackingRefBased/>
  <w15:docId w15:val="{5E269A69-5B2D-421E-9626-39CDEB70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A27"/>
    <w:pPr>
      <w:widowControl w:val="0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D93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93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D93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D93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D93A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D93A2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93A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93A2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93A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93A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9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93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93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A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93A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3A27"/>
    <w:rPr>
      <w:b/>
      <w:bCs/>
      <w:smallCaps/>
      <w:color w:val="0F4761" w:themeColor="accent1" w:themeShade="BF"/>
      <w:spacing w:val="5"/>
    </w:rPr>
  </w:style>
  <w:style w:type="table" w:styleId="11">
    <w:name w:val="Plain Table 1"/>
    <w:basedOn w:val="a1"/>
    <w:uiPriority w:val="41"/>
    <w:rsid w:val="00D93A27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e">
    <w:name w:val="Grid Table Light"/>
    <w:basedOn w:val="a1"/>
    <w:uiPriority w:val="40"/>
    <w:rsid w:val="00D93A27"/>
    <w:pPr>
      <w:spacing w:after="0" w:line="240" w:lineRule="auto"/>
    </w:pPr>
    <w:rPr>
      <w:kern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">
    <w:name w:val="annotation reference"/>
    <w:basedOn w:val="a0"/>
    <w:uiPriority w:val="99"/>
    <w:semiHidden/>
    <w:unhideWhenUsed/>
    <w:rsid w:val="00D93A2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93A27"/>
  </w:style>
  <w:style w:type="character" w:customStyle="1" w:styleId="af1">
    <w:name w:val="註解文字 字元"/>
    <w:basedOn w:val="a0"/>
    <w:link w:val="af0"/>
    <w:uiPriority w:val="99"/>
    <w:rsid w:val="00D93A27"/>
    <w:rPr>
      <w:kern w:val="0"/>
    </w:rPr>
  </w:style>
  <w:style w:type="paragraph" w:styleId="af2">
    <w:name w:val="Balloon Text"/>
    <w:basedOn w:val="a"/>
    <w:link w:val="af3"/>
    <w:uiPriority w:val="99"/>
    <w:semiHidden/>
    <w:unhideWhenUsed/>
    <w:rsid w:val="00D93A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D93A27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f4">
    <w:name w:val="Table Grid"/>
    <w:basedOn w:val="a1"/>
    <w:uiPriority w:val="39"/>
    <w:rsid w:val="00D93A2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D93A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6">
    <w:name w:val="頁首 字元"/>
    <w:basedOn w:val="a0"/>
    <w:link w:val="af5"/>
    <w:uiPriority w:val="99"/>
    <w:rsid w:val="00D93A27"/>
    <w:rPr>
      <w:kern w:val="0"/>
    </w:rPr>
  </w:style>
  <w:style w:type="paragraph" w:styleId="af7">
    <w:name w:val="footer"/>
    <w:basedOn w:val="a"/>
    <w:link w:val="af8"/>
    <w:uiPriority w:val="99"/>
    <w:unhideWhenUsed/>
    <w:rsid w:val="00D93A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8">
    <w:name w:val="頁尾 字元"/>
    <w:basedOn w:val="a0"/>
    <w:link w:val="af7"/>
    <w:uiPriority w:val="99"/>
    <w:rsid w:val="00D93A27"/>
    <w:rPr>
      <w:kern w:val="0"/>
    </w:rPr>
  </w:style>
  <w:style w:type="paragraph" w:customStyle="1" w:styleId="EndNoteBibliographyTitle">
    <w:name w:val="EndNote Bibliography Title"/>
    <w:basedOn w:val="a"/>
    <w:link w:val="EndNoteBibliographyTitle0"/>
    <w:rsid w:val="00D93A2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D93A27"/>
    <w:rPr>
      <w:rFonts w:ascii="Calibri" w:hAnsi="Calibri" w:cs="Calibri"/>
      <w:noProof/>
      <w:kern w:val="0"/>
    </w:rPr>
  </w:style>
  <w:style w:type="paragraph" w:customStyle="1" w:styleId="EndNoteBibliography">
    <w:name w:val="EndNote Bibliography"/>
    <w:basedOn w:val="a"/>
    <w:link w:val="EndNoteBibliography0"/>
    <w:rsid w:val="00D93A2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D93A27"/>
    <w:rPr>
      <w:rFonts w:ascii="Calibri" w:hAnsi="Calibri" w:cs="Calibri"/>
      <w:noProof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8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Liu</dc:creator>
  <cp:keywords/>
  <dc:description/>
  <cp:lastModifiedBy>Benjamin Liu</cp:lastModifiedBy>
  <cp:revision>4</cp:revision>
  <dcterms:created xsi:type="dcterms:W3CDTF">2025-05-01T08:36:00Z</dcterms:created>
  <dcterms:modified xsi:type="dcterms:W3CDTF">2025-05-06T03:34:00Z</dcterms:modified>
</cp:coreProperties>
</file>