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EE23" w14:textId="6B519E82" w:rsidR="003813A5" w:rsidRDefault="00767645" w:rsidP="00F4609B">
      <w:pPr>
        <w:spacing w:after="0" w:line="276" w:lineRule="auto"/>
        <w:rPr>
          <w:rFonts w:eastAsia="新細明體" w:cstheme="minorHAnsi"/>
          <w:b/>
          <w:bCs/>
          <w:sz w:val="28"/>
          <w:szCs w:val="28"/>
        </w:rPr>
      </w:pPr>
      <w:r w:rsidRPr="00767645">
        <w:rPr>
          <w:rFonts w:eastAsia="新細明體" w:cstheme="minorHAnsi"/>
          <w:b/>
          <w:bCs/>
          <w:sz w:val="28"/>
          <w:szCs w:val="28"/>
        </w:rPr>
        <w:t>Multidisciplinary Care Associated with Quality of Life in Older Chronic Kidney Disease Patients: A Cross-Sectional Analysis of Routine Laboratory Data, Intrinsic Capacity and Activities of Daily Living</w:t>
      </w:r>
    </w:p>
    <w:p w14:paraId="2E882F0D" w14:textId="77777777" w:rsidR="00767645" w:rsidRPr="00585E93" w:rsidRDefault="00767645" w:rsidP="00F4609B">
      <w:pPr>
        <w:spacing w:after="0" w:line="276" w:lineRule="auto"/>
        <w:rPr>
          <w:rFonts w:cstheme="minorHAnsi"/>
        </w:rPr>
      </w:pPr>
    </w:p>
    <w:p w14:paraId="7A8C4263" w14:textId="5830F428" w:rsidR="00F4609B" w:rsidRDefault="006D1491" w:rsidP="00F4609B">
      <w:pPr>
        <w:adjustRightInd w:val="0"/>
        <w:snapToGrid w:val="0"/>
        <w:spacing w:after="0" w:line="276" w:lineRule="auto"/>
        <w:rPr>
          <w:rFonts w:eastAsia="新細明體" w:cstheme="minorHAnsi"/>
          <w:sz w:val="28"/>
          <w:szCs w:val="28"/>
        </w:rPr>
      </w:pPr>
      <w:r>
        <w:rPr>
          <w:rFonts w:eastAsia="新細明體" w:cstheme="minorHAnsi"/>
          <w:b/>
          <w:bCs/>
          <w:sz w:val="28"/>
          <w:szCs w:val="28"/>
        </w:rPr>
        <w:t>Supplement</w:t>
      </w:r>
      <w:r w:rsidR="00585A17" w:rsidRPr="00585E93">
        <w:rPr>
          <w:rFonts w:eastAsia="新細明體" w:cstheme="minorHAnsi"/>
          <w:b/>
          <w:bCs/>
          <w:sz w:val="28"/>
          <w:szCs w:val="28"/>
        </w:rPr>
        <w:t xml:space="preserve"> </w:t>
      </w:r>
      <w:r w:rsidR="00F4609B">
        <w:rPr>
          <w:rFonts w:eastAsia="新細明體" w:cstheme="minorHAnsi"/>
          <w:b/>
          <w:bCs/>
          <w:sz w:val="28"/>
          <w:szCs w:val="28"/>
        </w:rPr>
        <w:t>A</w:t>
      </w:r>
      <w:r w:rsidR="00585A17" w:rsidRPr="00585E93">
        <w:rPr>
          <w:rFonts w:eastAsia="新細明體" w:cstheme="minorHAnsi"/>
          <w:b/>
          <w:bCs/>
          <w:sz w:val="28"/>
          <w:szCs w:val="28"/>
        </w:rPr>
        <w:t xml:space="preserve">. </w:t>
      </w:r>
      <w:r w:rsidR="00F4609B">
        <w:rPr>
          <w:rFonts w:eastAsia="新細明體" w:cstheme="minorHAnsi"/>
          <w:sz w:val="28"/>
          <w:szCs w:val="28"/>
        </w:rPr>
        <w:t>MDC Program Protocols</w:t>
      </w:r>
    </w:p>
    <w:p w14:paraId="48C0F796" w14:textId="77777777" w:rsidR="00F4609B" w:rsidRDefault="00F4609B" w:rsidP="00F4609B">
      <w:pPr>
        <w:adjustRightInd w:val="0"/>
        <w:snapToGrid w:val="0"/>
        <w:spacing w:after="0" w:line="276" w:lineRule="auto"/>
        <w:rPr>
          <w:rFonts w:cstheme="minorHAnsi"/>
          <w:b/>
          <w:bCs/>
        </w:rPr>
      </w:pPr>
    </w:p>
    <w:p w14:paraId="4DA1C034" w14:textId="02711F0D" w:rsidR="00585A17" w:rsidRDefault="00F4609B" w:rsidP="00F4609B">
      <w:pPr>
        <w:adjustRightInd w:val="0"/>
        <w:snapToGrid w:val="0"/>
        <w:spacing w:after="0" w:line="276" w:lineRule="auto"/>
        <w:rPr>
          <w:rFonts w:cstheme="minorHAnsi"/>
        </w:rPr>
      </w:pPr>
      <w:r>
        <w:rPr>
          <w:rFonts w:cstheme="minorHAnsi"/>
          <w:b/>
          <w:bCs/>
        </w:rPr>
        <w:t>List</w:t>
      </w:r>
      <w:r w:rsidR="00585A17" w:rsidRPr="00585E9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A</w:t>
      </w:r>
      <w:r w:rsidR="00585A17" w:rsidRPr="00585E93">
        <w:rPr>
          <w:rFonts w:cstheme="minorHAnsi"/>
          <w:b/>
          <w:bCs/>
        </w:rPr>
        <w:t>.1.</w:t>
      </w:r>
      <w:r w:rsidR="00585A17" w:rsidRPr="00585E93">
        <w:rPr>
          <w:rFonts w:cstheme="minorHAnsi"/>
        </w:rPr>
        <w:t xml:space="preserve"> </w:t>
      </w:r>
      <w:r>
        <w:rPr>
          <w:rFonts w:cstheme="minorHAnsi"/>
        </w:rPr>
        <w:t>Content of Nursing Health Education</w:t>
      </w:r>
    </w:p>
    <w:p w14:paraId="7850F4FB" w14:textId="3633B43F" w:rsidR="00F4609B" w:rsidRPr="00F4609B" w:rsidRDefault="00F4609B" w:rsidP="00F4609B">
      <w:pPr>
        <w:pStyle w:val="a3"/>
        <w:numPr>
          <w:ilvl w:val="0"/>
          <w:numId w:val="1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CKD </w:t>
      </w:r>
      <w:r w:rsidRPr="00F4609B">
        <w:rPr>
          <w:rFonts w:cstheme="minorHAnsi"/>
        </w:rPr>
        <w:t>Stage I: GFR ≥ 90 ml/min/1.73 m²</w:t>
      </w:r>
    </w:p>
    <w:p w14:paraId="54D32822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Understanding the basic structure and function of the kidneys</w:t>
      </w:r>
    </w:p>
    <w:p w14:paraId="43B7905F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Introduction to common symptoms of kidney diseases</w:t>
      </w:r>
    </w:p>
    <w:p w14:paraId="742A5530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Overview of common tests for kidney diseases</w:t>
      </w:r>
    </w:p>
    <w:p w14:paraId="171319FC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Explanation of common laboratory values in kidney diseases</w:t>
      </w:r>
    </w:p>
    <w:p w14:paraId="52D8A2A6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Introduction to kidney biopsy procedures</w:t>
      </w:r>
    </w:p>
    <w:p w14:paraId="5BE4ACCB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Nursing guidance for steroid medication use</w:t>
      </w:r>
    </w:p>
    <w:p w14:paraId="6EC5D690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Daily health maintenance and prevention for kidney diseases</w:t>
      </w:r>
    </w:p>
    <w:p w14:paraId="36C544F4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Emphasizing the importance of regular follow-ups</w:t>
      </w:r>
    </w:p>
    <w:p w14:paraId="3166AC0C" w14:textId="75A7F143" w:rsidR="00F4609B" w:rsidRPr="00F4609B" w:rsidRDefault="00F4609B" w:rsidP="00F4609B">
      <w:pPr>
        <w:pStyle w:val="a3"/>
        <w:numPr>
          <w:ilvl w:val="0"/>
          <w:numId w:val="1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CKD </w:t>
      </w:r>
      <w:r w:rsidRPr="00F4609B">
        <w:rPr>
          <w:rFonts w:cstheme="minorHAnsi"/>
        </w:rPr>
        <w:t>Stage II: GFR 60–89 ml/min/1.73 m²</w:t>
      </w:r>
    </w:p>
    <w:p w14:paraId="4AE31742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Introduction to kidney disease staging and precautions</w:t>
      </w:r>
    </w:p>
    <w:p w14:paraId="05002316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Abnormal clinical laboratory values in kidney diseases and their management</w:t>
      </w:r>
    </w:p>
    <w:p w14:paraId="714EA9E1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Overview of risk factors for kidney diseases</w:t>
      </w:r>
    </w:p>
    <w:p w14:paraId="71D800FD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Introduction to hypertension and its complications</w:t>
      </w:r>
    </w:p>
    <w:p w14:paraId="06AAEB9D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Introduction to hyperlipidemia and its complications</w:t>
      </w:r>
    </w:p>
    <w:p w14:paraId="661DA9B2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Introduction to diabetes and its complications</w:t>
      </w:r>
    </w:p>
    <w:p w14:paraId="008E241E" w14:textId="61ED8DE5" w:rsidR="00F4609B" w:rsidRPr="00F4609B" w:rsidRDefault="00F4609B" w:rsidP="00F4609B">
      <w:pPr>
        <w:pStyle w:val="a3"/>
        <w:numPr>
          <w:ilvl w:val="0"/>
          <w:numId w:val="1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CKD </w:t>
      </w:r>
      <w:r w:rsidRPr="00F4609B">
        <w:rPr>
          <w:rFonts w:cstheme="minorHAnsi"/>
        </w:rPr>
        <w:t>Stage III: GFR 30–59 ml/min/1.73 m²</w:t>
      </w:r>
    </w:p>
    <w:p w14:paraId="680C3EF4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Introduction to chronic kidney failure</w:t>
      </w:r>
    </w:p>
    <w:p w14:paraId="38D80F5A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Common symptoms and management of chronic kidney failure</w:t>
      </w:r>
    </w:p>
    <w:p w14:paraId="53D1C689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Factors contributing to kidney function deterioration</w:t>
      </w:r>
    </w:p>
    <w:p w14:paraId="31BA639E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Overview of hemodialysis treatment</w:t>
      </w:r>
    </w:p>
    <w:p w14:paraId="568C62D0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Overview of peritoneal dialysis treatment</w:t>
      </w:r>
    </w:p>
    <w:p w14:paraId="62B7AB2A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Introduction to the appropriate timing for dialysis initiation</w:t>
      </w:r>
    </w:p>
    <w:p w14:paraId="7AB7B093" w14:textId="3A5ED70F" w:rsidR="00F4609B" w:rsidRPr="00F4609B" w:rsidRDefault="00F4609B" w:rsidP="00F4609B">
      <w:pPr>
        <w:pStyle w:val="a3"/>
        <w:numPr>
          <w:ilvl w:val="0"/>
          <w:numId w:val="1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CKD </w:t>
      </w:r>
      <w:r w:rsidRPr="00F4609B">
        <w:rPr>
          <w:rFonts w:cstheme="minorHAnsi"/>
        </w:rPr>
        <w:t>Stage IV: GFR 15–29 ml/min/1.73 m²</w:t>
      </w:r>
    </w:p>
    <w:p w14:paraId="73FE0071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The impact of infections on kidney failure</w:t>
      </w:r>
    </w:p>
    <w:p w14:paraId="7263F7CB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Anemia treatment: Use of EPO and iron therapy</w:t>
      </w:r>
    </w:p>
    <w:p w14:paraId="0026139F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lastRenderedPageBreak/>
        <w:t>Introduction and prevention of chronic kidney failure complications</w:t>
      </w:r>
    </w:p>
    <w:p w14:paraId="4FCB6B64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Continued education on dialysis treatments (HD, PD, kidney transplant)</w:t>
      </w:r>
    </w:p>
    <w:p w14:paraId="49E3B0BF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Overview of dialysis access options (arteriovenous fistula, double-lumen catheter, peritoneal dialysis catheter)</w:t>
      </w:r>
    </w:p>
    <w:p w14:paraId="10610A42" w14:textId="54325C58" w:rsidR="00F4609B" w:rsidRPr="00F4609B" w:rsidRDefault="00F4609B" w:rsidP="00F4609B">
      <w:pPr>
        <w:pStyle w:val="a3"/>
        <w:numPr>
          <w:ilvl w:val="0"/>
          <w:numId w:val="1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CKD </w:t>
      </w:r>
      <w:r w:rsidRPr="00F4609B">
        <w:rPr>
          <w:rFonts w:cstheme="minorHAnsi"/>
        </w:rPr>
        <w:t>Stage V: GFR &lt; 15 ml/min/1.73 m²</w:t>
      </w:r>
    </w:p>
    <w:p w14:paraId="75D34C7B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Seizing the golden window for emergency medical care</w:t>
      </w:r>
    </w:p>
    <w:p w14:paraId="462A07F7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Care for vascular access</w:t>
      </w:r>
    </w:p>
    <w:p w14:paraId="55805D2E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Care for peritoneal dialysis catheters</w:t>
      </w:r>
    </w:p>
    <w:p w14:paraId="38838E5F" w14:textId="77777777" w:rsidR="00F4609B" w:rsidRP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Overview of complications from dialysis treatments (hemodialysis, peritoneal dialysis)</w:t>
      </w:r>
    </w:p>
    <w:p w14:paraId="29F99221" w14:textId="77777777" w:rsidR="00F4609B" w:rsidRDefault="00F4609B" w:rsidP="00F4609B">
      <w:pPr>
        <w:pStyle w:val="a3"/>
        <w:numPr>
          <w:ilvl w:val="1"/>
          <w:numId w:val="10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>Introduction to kidney transplant preparation essentials</w:t>
      </w:r>
    </w:p>
    <w:p w14:paraId="652C6058" w14:textId="56DC8E78" w:rsidR="00535B1B" w:rsidRDefault="00535B1B" w:rsidP="00535B1B">
      <w:pPr>
        <w:pStyle w:val="a3"/>
        <w:numPr>
          <w:ilvl w:val="0"/>
          <w:numId w:val="1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Smoking History (Yes/No), amount and duration</w:t>
      </w:r>
    </w:p>
    <w:p w14:paraId="066E4AC8" w14:textId="0E7154A9" w:rsidR="00535B1B" w:rsidRDefault="00535B1B" w:rsidP="00535B1B">
      <w:pPr>
        <w:pStyle w:val="a3"/>
        <w:numPr>
          <w:ilvl w:val="0"/>
          <w:numId w:val="10"/>
        </w:numPr>
        <w:spacing w:after="0" w:line="276" w:lineRule="auto"/>
        <w:rPr>
          <w:rFonts w:cstheme="minorHAnsi"/>
        </w:rPr>
      </w:pPr>
      <w:r w:rsidRPr="00535B1B">
        <w:rPr>
          <w:rFonts w:cstheme="minorHAnsi"/>
        </w:rPr>
        <w:t>Hospitalization Record</w:t>
      </w:r>
      <w:r>
        <w:rPr>
          <w:rFonts w:cstheme="minorHAnsi"/>
        </w:rPr>
        <w:t xml:space="preserve"> (Date, Major Diagnosis)</w:t>
      </w:r>
    </w:p>
    <w:p w14:paraId="4AEFBE09" w14:textId="642A804B" w:rsidR="00535B1B" w:rsidRPr="00F4609B" w:rsidRDefault="00535B1B" w:rsidP="00535B1B">
      <w:pPr>
        <w:pStyle w:val="a3"/>
        <w:numPr>
          <w:ilvl w:val="0"/>
          <w:numId w:val="10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Education Evaluation</w:t>
      </w:r>
      <w:r>
        <w:rPr>
          <w:rFonts w:cstheme="minorHAnsi"/>
        </w:rPr>
        <w:br/>
        <w:t>Cognition: (level of understanding)</w:t>
      </w:r>
      <w:r>
        <w:rPr>
          <w:rFonts w:cstheme="minorHAnsi"/>
        </w:rPr>
        <w:br/>
        <w:t>Behavior: (level of implementation)</w:t>
      </w:r>
    </w:p>
    <w:p w14:paraId="29A3DF2C" w14:textId="77777777" w:rsidR="00F4609B" w:rsidRDefault="00F4609B" w:rsidP="00F4609B">
      <w:pPr>
        <w:spacing w:after="0" w:line="276" w:lineRule="auto"/>
        <w:rPr>
          <w:rFonts w:cstheme="minorHAnsi"/>
        </w:rPr>
      </w:pPr>
    </w:p>
    <w:p w14:paraId="517C4F68" w14:textId="78C30C7C" w:rsidR="00F4609B" w:rsidRPr="00F4609B" w:rsidRDefault="00F4609B" w:rsidP="00F4609B">
      <w:pPr>
        <w:adjustRightInd w:val="0"/>
        <w:snapToGrid w:val="0"/>
        <w:spacing w:after="0" w:line="276" w:lineRule="auto"/>
        <w:rPr>
          <w:rFonts w:cstheme="minorHAnsi"/>
        </w:rPr>
      </w:pPr>
      <w:r>
        <w:rPr>
          <w:rFonts w:cstheme="minorHAnsi"/>
          <w:b/>
          <w:bCs/>
        </w:rPr>
        <w:t>List</w:t>
      </w:r>
      <w:r w:rsidRPr="00585E9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A</w:t>
      </w:r>
      <w:r w:rsidRPr="00585E93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2</w:t>
      </w:r>
      <w:r w:rsidRPr="00585E93">
        <w:rPr>
          <w:rFonts w:cstheme="minorHAnsi"/>
          <w:b/>
          <w:bCs/>
        </w:rPr>
        <w:t>.</w:t>
      </w:r>
      <w:r w:rsidRPr="00585E93">
        <w:rPr>
          <w:rFonts w:cstheme="minorHAnsi"/>
        </w:rPr>
        <w:t xml:space="preserve"> </w:t>
      </w:r>
      <w:r>
        <w:rPr>
          <w:rFonts w:cstheme="minorHAnsi"/>
        </w:rPr>
        <w:t xml:space="preserve">Content of </w:t>
      </w:r>
      <w:r w:rsidRPr="00F4609B">
        <w:rPr>
          <w:rFonts w:cstheme="minorHAnsi"/>
        </w:rPr>
        <w:t xml:space="preserve">Medication </w:t>
      </w:r>
      <w:r>
        <w:rPr>
          <w:rFonts w:cstheme="minorHAnsi"/>
        </w:rPr>
        <w:t>Evaluation</w:t>
      </w:r>
    </w:p>
    <w:p w14:paraId="28FF3222" w14:textId="0002DED8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ACEI: </w:t>
      </w:r>
      <w:r>
        <w:rPr>
          <w:rFonts w:cstheme="minorHAnsi"/>
        </w:rPr>
        <w:t>Yes/No</w:t>
      </w:r>
    </w:p>
    <w:p w14:paraId="613304A9" w14:textId="13B92E32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ARB: </w:t>
      </w:r>
      <w:r>
        <w:rPr>
          <w:rFonts w:cstheme="minorHAnsi"/>
        </w:rPr>
        <w:t>Yes/No</w:t>
      </w:r>
    </w:p>
    <w:p w14:paraId="7D46BE14" w14:textId="5AC17D74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CCB: </w:t>
      </w:r>
      <w:r>
        <w:rPr>
          <w:rFonts w:cstheme="minorHAnsi"/>
        </w:rPr>
        <w:t>Yes/No</w:t>
      </w:r>
    </w:p>
    <w:p w14:paraId="1DF6FAAE" w14:textId="5D0A4C78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diuretics: </w:t>
      </w:r>
      <w:r>
        <w:rPr>
          <w:rFonts w:cstheme="minorHAnsi"/>
        </w:rPr>
        <w:t>Yes/No</w:t>
      </w:r>
    </w:p>
    <w:p w14:paraId="26FBB0F7" w14:textId="7AF73090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other antihypertensive drugs: </w:t>
      </w:r>
      <w:r>
        <w:rPr>
          <w:rFonts w:cstheme="minorHAnsi"/>
        </w:rPr>
        <w:t>Yes/No</w:t>
      </w:r>
    </w:p>
    <w:p w14:paraId="20C0BFB6" w14:textId="24F8C1EE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insulin: </w:t>
      </w:r>
      <w:r>
        <w:rPr>
          <w:rFonts w:cstheme="minorHAnsi"/>
        </w:rPr>
        <w:t>Yes/No</w:t>
      </w:r>
    </w:p>
    <w:p w14:paraId="1D8763A3" w14:textId="63AEF43A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blood sugar-lowering medication: </w:t>
      </w:r>
      <w:r>
        <w:rPr>
          <w:rFonts w:cstheme="minorHAnsi"/>
        </w:rPr>
        <w:t>Yes/No</w:t>
      </w:r>
    </w:p>
    <w:p w14:paraId="6E0638BB" w14:textId="39CBFB26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lipid-lowering medication: </w:t>
      </w:r>
      <w:r>
        <w:rPr>
          <w:rFonts w:cstheme="minorHAnsi"/>
        </w:rPr>
        <w:t>Yes/No</w:t>
      </w:r>
    </w:p>
    <w:p w14:paraId="7FBB59F0" w14:textId="14154317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activated vitamin D: </w:t>
      </w:r>
      <w:r>
        <w:rPr>
          <w:rFonts w:cstheme="minorHAnsi"/>
        </w:rPr>
        <w:t>Yes/No</w:t>
      </w:r>
    </w:p>
    <w:p w14:paraId="51763DB4" w14:textId="77806B47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phosphate binders: </w:t>
      </w:r>
      <w:r>
        <w:rPr>
          <w:rFonts w:cstheme="minorHAnsi"/>
        </w:rPr>
        <w:t>Yes/No</w:t>
      </w:r>
    </w:p>
    <w:p w14:paraId="402A036C" w14:textId="4DA23AD5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iron supplements: </w:t>
      </w:r>
      <w:r>
        <w:rPr>
          <w:rFonts w:cstheme="minorHAnsi"/>
        </w:rPr>
        <w:t>Yes/No</w:t>
      </w:r>
    </w:p>
    <w:p w14:paraId="3FDA6772" w14:textId="3E7612FA" w:rsidR="00F4609B" w:rsidRPr="00F4609B" w:rsidRDefault="00F4609B" w:rsidP="00F4609B">
      <w:pPr>
        <w:pStyle w:val="a3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F4609B">
        <w:rPr>
          <w:rFonts w:cstheme="minorHAnsi"/>
        </w:rPr>
        <w:t xml:space="preserve">Use of EPO: </w:t>
      </w:r>
      <w:r>
        <w:rPr>
          <w:rFonts w:cstheme="minorHAnsi"/>
        </w:rPr>
        <w:t>Yes/No</w:t>
      </w:r>
    </w:p>
    <w:p w14:paraId="6BD6BF1D" w14:textId="77777777" w:rsidR="00F4609B" w:rsidRDefault="00F4609B" w:rsidP="00F4609B">
      <w:pPr>
        <w:spacing w:after="0" w:line="276" w:lineRule="auto"/>
        <w:rPr>
          <w:rFonts w:cstheme="minorHAnsi"/>
        </w:rPr>
      </w:pPr>
    </w:p>
    <w:p w14:paraId="4B8F42BD" w14:textId="19D653DC" w:rsidR="00C63B5D" w:rsidRPr="0092523B" w:rsidRDefault="00F4609B" w:rsidP="00C63B5D">
      <w:pPr>
        <w:adjustRightInd w:val="0"/>
        <w:snapToGrid w:val="0"/>
        <w:spacing w:after="0" w:line="276" w:lineRule="auto"/>
        <w:rPr>
          <w:rFonts w:cstheme="minorHAnsi"/>
        </w:rPr>
      </w:pPr>
      <w:r>
        <w:rPr>
          <w:rFonts w:cstheme="minorHAnsi"/>
          <w:b/>
          <w:bCs/>
        </w:rPr>
        <w:t>List</w:t>
      </w:r>
      <w:r w:rsidRPr="00585E9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A</w:t>
      </w:r>
      <w:r w:rsidRPr="00585E93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3</w:t>
      </w:r>
      <w:r w:rsidRPr="00585E93">
        <w:rPr>
          <w:rFonts w:cstheme="minorHAnsi"/>
          <w:b/>
          <w:bCs/>
        </w:rPr>
        <w:t>.</w:t>
      </w:r>
      <w:r w:rsidRPr="00585E93">
        <w:rPr>
          <w:rFonts w:cstheme="minorHAnsi"/>
        </w:rPr>
        <w:t xml:space="preserve"> </w:t>
      </w:r>
      <w:r>
        <w:rPr>
          <w:rFonts w:cstheme="minorHAnsi"/>
        </w:rPr>
        <w:t xml:space="preserve">Content of </w:t>
      </w:r>
      <w:r w:rsidR="00C63B5D" w:rsidRPr="0092523B">
        <w:rPr>
          <w:rFonts w:cstheme="minorHAnsi"/>
        </w:rPr>
        <w:t xml:space="preserve">Dietary Education </w:t>
      </w:r>
    </w:p>
    <w:p w14:paraId="52003842" w14:textId="1DC0DE1F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Relationship between protein foods and kidney disease</w:t>
      </w:r>
    </w:p>
    <w:p w14:paraId="6D7B0F85" w14:textId="59F7DD59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Basic food portioning and substitution</w:t>
      </w:r>
    </w:p>
    <w:p w14:paraId="6441B080" w14:textId="77777777" w:rsidR="00C63B5D" w:rsidRDefault="00C63B5D" w:rsidP="00AC05DE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lastRenderedPageBreak/>
        <w:t>Principles of a low-protein diet</w:t>
      </w:r>
    </w:p>
    <w:p w14:paraId="57683C4E" w14:textId="471D1C14" w:rsidR="00C63B5D" w:rsidRPr="0092523B" w:rsidRDefault="00C63B5D" w:rsidP="00AC05DE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Diet adjustments for diabetic complications</w:t>
      </w:r>
    </w:p>
    <w:p w14:paraId="54DE5F64" w14:textId="04081208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Increasing calorie intake with fat supplementation techniques</w:t>
      </w:r>
    </w:p>
    <w:p w14:paraId="71FE5E1C" w14:textId="6B17D29D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Increasing calorie intake with pure sugar supplementation techniques</w:t>
      </w:r>
    </w:p>
    <w:p w14:paraId="466D4FC2" w14:textId="36949373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Guidance on preparing low-nitrogen snacks</w:t>
      </w:r>
    </w:p>
    <w:p w14:paraId="6A999B6B" w14:textId="71580999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Low-phosphorus diet</w:t>
      </w:r>
    </w:p>
    <w:p w14:paraId="33292A02" w14:textId="4F2B6F93" w:rsidR="00C63B5D" w:rsidRDefault="00C63B5D" w:rsidP="00937B97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Low-sodium diet</w:t>
      </w:r>
    </w:p>
    <w:p w14:paraId="7F32EE27" w14:textId="6EB14B5C" w:rsidR="00C63B5D" w:rsidRPr="0092523B" w:rsidRDefault="00C63B5D" w:rsidP="00937B97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Low-potassium diet</w:t>
      </w:r>
    </w:p>
    <w:p w14:paraId="5FE755A3" w14:textId="38419B4A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Diet for high cholesterol/triglycerides</w:t>
      </w:r>
    </w:p>
    <w:p w14:paraId="48CD37A4" w14:textId="20459BC9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Use of nutritional supplements</w:t>
      </w:r>
    </w:p>
    <w:p w14:paraId="03DC57DD" w14:textId="58BBB35F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Guidelines and suggestions for eating out</w:t>
      </w:r>
    </w:p>
    <w:p w14:paraId="37235F20" w14:textId="12CD6474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Dietary guidance for holidays and festival</w:t>
      </w:r>
    </w:p>
    <w:p w14:paraId="63051E0C" w14:textId="19711BDB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Dietary strategies for poor appetite</w:t>
      </w:r>
    </w:p>
    <w:p w14:paraId="074EAE82" w14:textId="4605EA5A" w:rsidR="00C63B5D" w:rsidRPr="0092523B" w:rsidRDefault="00C63B5D" w:rsidP="00C63B5D">
      <w:pPr>
        <w:numPr>
          <w:ilvl w:val="0"/>
          <w:numId w:val="13"/>
        </w:numPr>
        <w:adjustRightInd w:val="0"/>
        <w:snapToGrid w:val="0"/>
        <w:spacing w:after="0" w:line="276" w:lineRule="auto"/>
        <w:rPr>
          <w:rFonts w:cstheme="minorHAnsi"/>
        </w:rPr>
      </w:pPr>
      <w:r w:rsidRPr="0092523B">
        <w:rPr>
          <w:rFonts w:cstheme="minorHAnsi"/>
        </w:rPr>
        <w:t>Dietary strategies for swallowing difficulties</w:t>
      </w:r>
    </w:p>
    <w:p w14:paraId="4BE86342" w14:textId="77777777" w:rsidR="00C63B5D" w:rsidRDefault="00C63B5D" w:rsidP="00F4609B">
      <w:pPr>
        <w:adjustRightInd w:val="0"/>
        <w:snapToGrid w:val="0"/>
        <w:spacing w:after="0" w:line="276" w:lineRule="auto"/>
        <w:rPr>
          <w:rFonts w:cstheme="minorHAnsi"/>
        </w:rPr>
      </w:pPr>
    </w:p>
    <w:p w14:paraId="31CBE890" w14:textId="63DD488F" w:rsidR="00C63B5D" w:rsidRDefault="00C63B5D" w:rsidP="00C63B5D">
      <w:pPr>
        <w:adjustRightInd w:val="0"/>
        <w:snapToGrid w:val="0"/>
        <w:spacing w:after="0" w:line="276" w:lineRule="auto"/>
        <w:rPr>
          <w:rFonts w:cstheme="minorHAnsi"/>
        </w:rPr>
      </w:pPr>
      <w:r>
        <w:rPr>
          <w:rFonts w:cstheme="minorHAnsi"/>
          <w:b/>
          <w:bCs/>
        </w:rPr>
        <w:t>List</w:t>
      </w:r>
      <w:r w:rsidRPr="00585E9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A</w:t>
      </w:r>
      <w:r w:rsidRPr="00585E93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4</w:t>
      </w:r>
      <w:r w:rsidRPr="00585E93">
        <w:rPr>
          <w:rFonts w:cstheme="minorHAnsi"/>
          <w:b/>
          <w:bCs/>
        </w:rPr>
        <w:t>.</w:t>
      </w:r>
      <w:r w:rsidRPr="00585E93">
        <w:rPr>
          <w:rFonts w:cstheme="minorHAnsi"/>
        </w:rPr>
        <w:t xml:space="preserve"> </w:t>
      </w:r>
      <w:r>
        <w:rPr>
          <w:rFonts w:cstheme="minorHAnsi"/>
        </w:rPr>
        <w:t xml:space="preserve">Content of Nutrition </w:t>
      </w:r>
      <w:r>
        <w:rPr>
          <w:rFonts w:cstheme="minorHAnsi" w:hint="eastAsia"/>
        </w:rPr>
        <w:t>Monitoring</w:t>
      </w:r>
    </w:p>
    <w:p w14:paraId="78473ED8" w14:textId="77777777" w:rsidR="00656773" w:rsidRPr="00656773" w:rsidRDefault="00656773" w:rsidP="00656773">
      <w:pPr>
        <w:pStyle w:val="a3"/>
        <w:numPr>
          <w:ilvl w:val="0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Dietary Issues</w:t>
      </w:r>
    </w:p>
    <w:p w14:paraId="6042E724" w14:textId="160F4778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Calorie requirement: kcal/day</w:t>
      </w:r>
    </w:p>
    <w:p w14:paraId="01AA47E5" w14:textId="63358EBF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Protein requirement: g/day</w:t>
      </w:r>
    </w:p>
    <w:p w14:paraId="7C94BA4F" w14:textId="18B23285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Calorie intake: kcal/day</w:t>
      </w:r>
    </w:p>
    <w:p w14:paraId="70BC69A6" w14:textId="0748D8D5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Protein intake: g/day</w:t>
      </w:r>
    </w:p>
    <w:p w14:paraId="072E01EA" w14:textId="77777777" w:rsidR="00656773" w:rsidRPr="00656773" w:rsidRDefault="00656773" w:rsidP="00656773">
      <w:pPr>
        <w:pStyle w:val="a3"/>
        <w:numPr>
          <w:ilvl w:val="0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Intake Assessment</w:t>
      </w:r>
    </w:p>
    <w:p w14:paraId="0B0C242F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Calorie intake: Excessive/Appropriate/Insufficient</w:t>
      </w:r>
    </w:p>
    <w:p w14:paraId="6BD4DF10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Protein intake: Excessive/Appropriate/Insufficient</w:t>
      </w:r>
    </w:p>
    <w:p w14:paraId="607E474C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Low-protein snacks supplementation: Always/Often/Occasionally/Never</w:t>
      </w:r>
    </w:p>
    <w:p w14:paraId="67820A65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Saturated fat intake: Excessive/Appropriate/Insufficient</w:t>
      </w:r>
    </w:p>
    <w:p w14:paraId="02D5B217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Phosphorus intake: Excessive/Appropriate/Insufficient</w:t>
      </w:r>
    </w:p>
    <w:p w14:paraId="5B1DD753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Sodium intake: Excessive/Appropriate/Insufficient</w:t>
      </w:r>
    </w:p>
    <w:p w14:paraId="22DA631F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Potassium intake: Excessive/Appropriate/Insufficient</w:t>
      </w:r>
    </w:p>
    <w:p w14:paraId="2F19702F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Iron and fiber intake: Excessive/Appropriate/Insufficient</w:t>
      </w:r>
    </w:p>
    <w:p w14:paraId="7DF17F55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Monosaccharide intake: Excessive/Appropriate/Insufficient</w:t>
      </w:r>
    </w:p>
    <w:p w14:paraId="34AECBED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Water intake: Excessive/Appropriate/Insufficient</w:t>
      </w:r>
    </w:p>
    <w:p w14:paraId="30D21A3E" w14:textId="77777777" w:rsidR="00656773" w:rsidRPr="00656773" w:rsidRDefault="00656773" w:rsidP="00656773">
      <w:pPr>
        <w:pStyle w:val="a3"/>
        <w:numPr>
          <w:ilvl w:val="0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Other</w:t>
      </w:r>
    </w:p>
    <w:p w14:paraId="07457985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Accuracy of phosphate binder usage: Good/Fair/Poor</w:t>
      </w:r>
    </w:p>
    <w:p w14:paraId="0F539140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Motivation for dietary control: Strong/Moderate/Reluctant/None</w:t>
      </w:r>
    </w:p>
    <w:p w14:paraId="13F804FE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Correctness of dietary knowledge: Good/Fair/Poor</w:t>
      </w:r>
    </w:p>
    <w:p w14:paraId="2CE4355A" w14:textId="77777777" w:rsidR="00656773" w:rsidRPr="00656773" w:rsidRDefault="00656773" w:rsidP="00656773">
      <w:pPr>
        <w:pStyle w:val="a3"/>
        <w:numPr>
          <w:ilvl w:val="1"/>
          <w:numId w:val="12"/>
        </w:numPr>
        <w:adjustRightInd w:val="0"/>
        <w:snapToGrid w:val="0"/>
        <w:spacing w:after="0" w:line="276" w:lineRule="auto"/>
        <w:rPr>
          <w:rFonts w:cstheme="minorHAnsi"/>
        </w:rPr>
      </w:pPr>
      <w:r w:rsidRPr="00656773">
        <w:rPr>
          <w:rFonts w:cstheme="minorHAnsi"/>
        </w:rPr>
        <w:t>Special conditions or issues: (requires additional explanation)</w:t>
      </w:r>
    </w:p>
    <w:p w14:paraId="49DF968F" w14:textId="77777777" w:rsidR="00656773" w:rsidRPr="00656773" w:rsidRDefault="00656773" w:rsidP="00656773">
      <w:pPr>
        <w:adjustRightInd w:val="0"/>
        <w:snapToGrid w:val="0"/>
        <w:spacing w:after="0" w:line="276" w:lineRule="auto"/>
        <w:rPr>
          <w:rFonts w:cstheme="minorHAnsi"/>
        </w:rPr>
      </w:pPr>
    </w:p>
    <w:p w14:paraId="219FD620" w14:textId="77777777" w:rsidR="00656773" w:rsidRPr="00656773" w:rsidRDefault="00656773" w:rsidP="00656773">
      <w:pPr>
        <w:adjustRightInd w:val="0"/>
        <w:snapToGrid w:val="0"/>
        <w:spacing w:after="0" w:line="276" w:lineRule="auto"/>
        <w:rPr>
          <w:rFonts w:cstheme="minorHAnsi"/>
        </w:rPr>
      </w:pPr>
    </w:p>
    <w:p w14:paraId="2B800B62" w14:textId="77777777" w:rsidR="00F4609B" w:rsidRPr="00F4609B" w:rsidRDefault="00F4609B" w:rsidP="00F4609B">
      <w:pPr>
        <w:spacing w:after="0" w:line="276" w:lineRule="auto"/>
        <w:rPr>
          <w:rFonts w:cstheme="minorHAnsi"/>
        </w:rPr>
      </w:pPr>
    </w:p>
    <w:sectPr w:rsidR="00F4609B" w:rsidRPr="00F460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7A03" w14:textId="77777777" w:rsidR="00E97AC7" w:rsidRDefault="00E97AC7" w:rsidP="00510462">
      <w:pPr>
        <w:spacing w:after="0" w:line="240" w:lineRule="auto"/>
      </w:pPr>
      <w:r>
        <w:separator/>
      </w:r>
    </w:p>
  </w:endnote>
  <w:endnote w:type="continuationSeparator" w:id="0">
    <w:p w14:paraId="0FF1521A" w14:textId="77777777" w:rsidR="00E97AC7" w:rsidRDefault="00E97AC7" w:rsidP="0051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1ACF" w14:textId="77777777" w:rsidR="00E97AC7" w:rsidRDefault="00E97AC7" w:rsidP="00510462">
      <w:pPr>
        <w:spacing w:after="0" w:line="240" w:lineRule="auto"/>
      </w:pPr>
      <w:r>
        <w:separator/>
      </w:r>
    </w:p>
  </w:footnote>
  <w:footnote w:type="continuationSeparator" w:id="0">
    <w:p w14:paraId="56DA8566" w14:textId="77777777" w:rsidR="00E97AC7" w:rsidRDefault="00E97AC7" w:rsidP="0051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647"/>
    <w:multiLevelType w:val="multilevel"/>
    <w:tmpl w:val="9F90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05EC9"/>
    <w:multiLevelType w:val="multilevel"/>
    <w:tmpl w:val="2AB4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A1BD2"/>
    <w:multiLevelType w:val="multilevel"/>
    <w:tmpl w:val="ACDAAB16"/>
    <w:lvl w:ilvl="0">
      <w:start w:val="1"/>
      <w:numFmt w:val="decimal"/>
      <w:lvlText w:val="%1."/>
      <w:lvlJc w:val="left"/>
      <w:pPr>
        <w:ind w:left="550" w:hanging="38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930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3" w15:restartNumberingAfterBreak="0">
    <w:nsid w:val="3BBB262F"/>
    <w:multiLevelType w:val="multilevel"/>
    <w:tmpl w:val="4B4C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064BF"/>
    <w:multiLevelType w:val="hybridMultilevel"/>
    <w:tmpl w:val="AB6E2546"/>
    <w:lvl w:ilvl="0" w:tplc="47526B80">
      <w:start w:val="2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1169B"/>
    <w:multiLevelType w:val="hybridMultilevel"/>
    <w:tmpl w:val="B17A38BE"/>
    <w:lvl w:ilvl="0" w:tplc="1D4C42DE">
      <w:start w:val="12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E5F41"/>
    <w:multiLevelType w:val="multilevel"/>
    <w:tmpl w:val="FBCC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131B8"/>
    <w:multiLevelType w:val="multilevel"/>
    <w:tmpl w:val="ACDAAB16"/>
    <w:lvl w:ilvl="0">
      <w:start w:val="1"/>
      <w:numFmt w:val="decimal"/>
      <w:lvlText w:val="%1."/>
      <w:lvlJc w:val="left"/>
      <w:pPr>
        <w:ind w:left="550" w:hanging="38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930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8" w15:restartNumberingAfterBreak="0">
    <w:nsid w:val="66F22D88"/>
    <w:multiLevelType w:val="hybridMultilevel"/>
    <w:tmpl w:val="30548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01226"/>
    <w:multiLevelType w:val="multilevel"/>
    <w:tmpl w:val="FEBE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1400BD"/>
    <w:multiLevelType w:val="multilevel"/>
    <w:tmpl w:val="E3B6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263226"/>
    <w:multiLevelType w:val="hybridMultilevel"/>
    <w:tmpl w:val="EB9C4FD0"/>
    <w:lvl w:ilvl="0" w:tplc="15E087CA">
      <w:start w:val="3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24D3"/>
    <w:multiLevelType w:val="multilevel"/>
    <w:tmpl w:val="ACDAAB16"/>
    <w:lvl w:ilvl="0">
      <w:start w:val="1"/>
      <w:numFmt w:val="decimal"/>
      <w:lvlText w:val="%1."/>
      <w:lvlJc w:val="left"/>
      <w:pPr>
        <w:ind w:left="550" w:hanging="38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930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num w:numId="1" w16cid:durableId="954212766">
    <w:abstractNumId w:val="8"/>
  </w:num>
  <w:num w:numId="2" w16cid:durableId="1969358071">
    <w:abstractNumId w:val="4"/>
  </w:num>
  <w:num w:numId="3" w16cid:durableId="597643299">
    <w:abstractNumId w:val="5"/>
  </w:num>
  <w:num w:numId="4" w16cid:durableId="1630623899">
    <w:abstractNumId w:val="11"/>
  </w:num>
  <w:num w:numId="5" w16cid:durableId="104813531">
    <w:abstractNumId w:val="0"/>
  </w:num>
  <w:num w:numId="6" w16cid:durableId="240796831">
    <w:abstractNumId w:val="3"/>
  </w:num>
  <w:num w:numId="7" w16cid:durableId="1172723494">
    <w:abstractNumId w:val="6"/>
  </w:num>
  <w:num w:numId="8" w16cid:durableId="366880529">
    <w:abstractNumId w:val="1"/>
  </w:num>
  <w:num w:numId="9" w16cid:durableId="2099207974">
    <w:abstractNumId w:val="10"/>
  </w:num>
  <w:num w:numId="10" w16cid:durableId="1595940968">
    <w:abstractNumId w:val="12"/>
  </w:num>
  <w:num w:numId="11" w16cid:durableId="966854490">
    <w:abstractNumId w:val="2"/>
  </w:num>
  <w:num w:numId="12" w16cid:durableId="780730456">
    <w:abstractNumId w:val="7"/>
  </w:num>
  <w:num w:numId="13" w16cid:durableId="53166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25"/>
    <w:rsid w:val="00013798"/>
    <w:rsid w:val="00053C7D"/>
    <w:rsid w:val="000670E1"/>
    <w:rsid w:val="000A40D4"/>
    <w:rsid w:val="000B422A"/>
    <w:rsid w:val="000B758F"/>
    <w:rsid w:val="0016132E"/>
    <w:rsid w:val="00187670"/>
    <w:rsid w:val="001A561A"/>
    <w:rsid w:val="001B17D0"/>
    <w:rsid w:val="001C2C43"/>
    <w:rsid w:val="001E264F"/>
    <w:rsid w:val="001E64EF"/>
    <w:rsid w:val="0024351E"/>
    <w:rsid w:val="00243CB1"/>
    <w:rsid w:val="00263A91"/>
    <w:rsid w:val="00272818"/>
    <w:rsid w:val="0029659C"/>
    <w:rsid w:val="00297582"/>
    <w:rsid w:val="002B797F"/>
    <w:rsid w:val="002C5EED"/>
    <w:rsid w:val="002C7A3A"/>
    <w:rsid w:val="002F17F8"/>
    <w:rsid w:val="00307625"/>
    <w:rsid w:val="00317D9F"/>
    <w:rsid w:val="003309A4"/>
    <w:rsid w:val="00354BC9"/>
    <w:rsid w:val="003813A5"/>
    <w:rsid w:val="00383BCC"/>
    <w:rsid w:val="0039602B"/>
    <w:rsid w:val="003B0359"/>
    <w:rsid w:val="003B1EA4"/>
    <w:rsid w:val="003B7FEA"/>
    <w:rsid w:val="003F6D86"/>
    <w:rsid w:val="0043477D"/>
    <w:rsid w:val="0046379A"/>
    <w:rsid w:val="004C1505"/>
    <w:rsid w:val="004D1AB0"/>
    <w:rsid w:val="004D7BDD"/>
    <w:rsid w:val="00510462"/>
    <w:rsid w:val="00535B1B"/>
    <w:rsid w:val="005443F0"/>
    <w:rsid w:val="00585A17"/>
    <w:rsid w:val="00585E93"/>
    <w:rsid w:val="005A35FF"/>
    <w:rsid w:val="005A3A33"/>
    <w:rsid w:val="005A3E6D"/>
    <w:rsid w:val="005D167B"/>
    <w:rsid w:val="00656773"/>
    <w:rsid w:val="006615C6"/>
    <w:rsid w:val="00666CFB"/>
    <w:rsid w:val="00687D16"/>
    <w:rsid w:val="006B5FF0"/>
    <w:rsid w:val="006C063B"/>
    <w:rsid w:val="006D1491"/>
    <w:rsid w:val="006E101C"/>
    <w:rsid w:val="007244E9"/>
    <w:rsid w:val="00767645"/>
    <w:rsid w:val="00776355"/>
    <w:rsid w:val="0079220F"/>
    <w:rsid w:val="007975A4"/>
    <w:rsid w:val="007C0D84"/>
    <w:rsid w:val="007E1FFA"/>
    <w:rsid w:val="007E30D0"/>
    <w:rsid w:val="00836907"/>
    <w:rsid w:val="00852271"/>
    <w:rsid w:val="00876CC3"/>
    <w:rsid w:val="008B102B"/>
    <w:rsid w:val="008B2ED7"/>
    <w:rsid w:val="008B2F98"/>
    <w:rsid w:val="008C432B"/>
    <w:rsid w:val="008F4ADC"/>
    <w:rsid w:val="0092523B"/>
    <w:rsid w:val="00963269"/>
    <w:rsid w:val="00970989"/>
    <w:rsid w:val="009D4CFB"/>
    <w:rsid w:val="009F35F4"/>
    <w:rsid w:val="009F5F22"/>
    <w:rsid w:val="009F69C4"/>
    <w:rsid w:val="00A27355"/>
    <w:rsid w:val="00A94641"/>
    <w:rsid w:val="00A946B1"/>
    <w:rsid w:val="00AC7527"/>
    <w:rsid w:val="00AD6887"/>
    <w:rsid w:val="00AD7B2D"/>
    <w:rsid w:val="00B02E4C"/>
    <w:rsid w:val="00B516DF"/>
    <w:rsid w:val="00B9100D"/>
    <w:rsid w:val="00BA3717"/>
    <w:rsid w:val="00BC2938"/>
    <w:rsid w:val="00BD4648"/>
    <w:rsid w:val="00BE0221"/>
    <w:rsid w:val="00BE22E2"/>
    <w:rsid w:val="00BE49FB"/>
    <w:rsid w:val="00C00D46"/>
    <w:rsid w:val="00C00DEE"/>
    <w:rsid w:val="00C20078"/>
    <w:rsid w:val="00C32B92"/>
    <w:rsid w:val="00C4059B"/>
    <w:rsid w:val="00C52237"/>
    <w:rsid w:val="00C63B5D"/>
    <w:rsid w:val="00C76540"/>
    <w:rsid w:val="00C93B9F"/>
    <w:rsid w:val="00CB6293"/>
    <w:rsid w:val="00CC3207"/>
    <w:rsid w:val="00CD5FE0"/>
    <w:rsid w:val="00CF1072"/>
    <w:rsid w:val="00CF6701"/>
    <w:rsid w:val="00D10075"/>
    <w:rsid w:val="00D526A0"/>
    <w:rsid w:val="00D531BD"/>
    <w:rsid w:val="00D9765C"/>
    <w:rsid w:val="00DC5E70"/>
    <w:rsid w:val="00DE5D56"/>
    <w:rsid w:val="00DF645D"/>
    <w:rsid w:val="00E1373C"/>
    <w:rsid w:val="00E15275"/>
    <w:rsid w:val="00E333DC"/>
    <w:rsid w:val="00E4574B"/>
    <w:rsid w:val="00E775AC"/>
    <w:rsid w:val="00E97AC7"/>
    <w:rsid w:val="00EB23E2"/>
    <w:rsid w:val="00EF4841"/>
    <w:rsid w:val="00F30837"/>
    <w:rsid w:val="00F4609B"/>
    <w:rsid w:val="00F75D25"/>
    <w:rsid w:val="00FB2BD7"/>
    <w:rsid w:val="00FC01DE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14B24"/>
  <w15:chartTrackingRefBased/>
  <w15:docId w15:val="{97201848-76D4-4B07-9B25-44B61602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625"/>
    <w:pPr>
      <w:widowControl w:val="0"/>
      <w:spacing w:after="160" w:line="278" w:lineRule="auto"/>
    </w:pPr>
    <w:rPr>
      <w:kern w:val="0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625"/>
    <w:pPr>
      <w:ind w:left="720"/>
      <w:contextualSpacing/>
    </w:pPr>
  </w:style>
  <w:style w:type="table" w:styleId="1">
    <w:name w:val="Plain Table 1"/>
    <w:basedOn w:val="a1"/>
    <w:uiPriority w:val="41"/>
    <w:rsid w:val="00307625"/>
    <w:rPr>
      <w:kern w:val="0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F30837"/>
    <w:rPr>
      <w:kern w:val="0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annotation reference"/>
    <w:basedOn w:val="a0"/>
    <w:uiPriority w:val="99"/>
    <w:semiHidden/>
    <w:unhideWhenUsed/>
    <w:rsid w:val="00F30837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F30837"/>
  </w:style>
  <w:style w:type="character" w:customStyle="1" w:styleId="a7">
    <w:name w:val="註解文字 字元"/>
    <w:basedOn w:val="a0"/>
    <w:link w:val="a6"/>
    <w:uiPriority w:val="99"/>
    <w:rsid w:val="00F30837"/>
    <w:rPr>
      <w:kern w:val="0"/>
      <w:szCs w:val="24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F3083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0837"/>
    <w:rPr>
      <w:rFonts w:asciiTheme="majorHAnsi" w:eastAsiaTheme="majorEastAsia" w:hAnsiTheme="majorHAnsi" w:cstheme="majorBidi"/>
      <w:kern w:val="0"/>
      <w:sz w:val="18"/>
      <w:szCs w:val="18"/>
      <w14:ligatures w14:val="standardContextual"/>
    </w:rPr>
  </w:style>
  <w:style w:type="table" w:styleId="aa">
    <w:name w:val="Table Grid"/>
    <w:basedOn w:val="a1"/>
    <w:uiPriority w:val="39"/>
    <w:rsid w:val="00F30837"/>
    <w:rPr>
      <w:kern w:val="0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04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c">
    <w:name w:val="頁首 字元"/>
    <w:basedOn w:val="a0"/>
    <w:link w:val="ab"/>
    <w:uiPriority w:val="99"/>
    <w:rsid w:val="00510462"/>
    <w:rPr>
      <w:kern w:val="0"/>
      <w:szCs w:val="24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5104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e">
    <w:name w:val="頁尾 字元"/>
    <w:basedOn w:val="a0"/>
    <w:link w:val="ad"/>
    <w:uiPriority w:val="99"/>
    <w:rsid w:val="00510462"/>
    <w:rPr>
      <w:kern w:val="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9A822-B546-4B39-8C5B-BDF3C8CB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志恆 余</dc:creator>
  <cp:keywords/>
  <dc:description/>
  <cp:lastModifiedBy>Benjamin Liu</cp:lastModifiedBy>
  <cp:revision>7</cp:revision>
  <dcterms:created xsi:type="dcterms:W3CDTF">2025-01-22T05:22:00Z</dcterms:created>
  <dcterms:modified xsi:type="dcterms:W3CDTF">2025-05-01T07:49:00Z</dcterms:modified>
</cp:coreProperties>
</file>